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75C" w:rsidRPr="00E866B1" w:rsidRDefault="007E4663">
      <w:pPr>
        <w:pStyle w:val="table"/>
        <w:spacing w:before="0" w:after="0"/>
        <w:jc w:val="right"/>
        <w:rPr>
          <w:rFonts w:ascii="Arial" w:hAnsi="Arial" w:cs="Arial"/>
          <w:spacing w:val="0"/>
        </w:rPr>
      </w:pPr>
      <w:bookmarkStart w:id="0" w:name="_GoBack"/>
      <w:bookmarkEnd w:id="0"/>
      <w:r w:rsidRPr="00E866B1">
        <w:rPr>
          <w:rFonts w:ascii="Arial" w:hAnsi="Arial" w:cs="Arial"/>
          <w:spacing w:val="0"/>
        </w:rPr>
        <w:tab/>
      </w:r>
    </w:p>
    <w:p w:rsidR="003C375C" w:rsidRPr="00E866B1" w:rsidRDefault="003C375C">
      <w:pPr>
        <w:pStyle w:val="table"/>
        <w:spacing w:before="0" w:after="0"/>
        <w:jc w:val="right"/>
        <w:rPr>
          <w:rFonts w:ascii="Arial" w:hAnsi="Arial" w:cs="Arial"/>
          <w:spacing w:val="0"/>
        </w:rPr>
      </w:pPr>
    </w:p>
    <w:p w:rsidR="003C375C" w:rsidRPr="00E866B1" w:rsidRDefault="003C375C">
      <w:pPr>
        <w:pStyle w:val="table"/>
        <w:spacing w:before="0" w:after="0"/>
        <w:jc w:val="right"/>
        <w:rPr>
          <w:rFonts w:ascii="Arial" w:hAnsi="Arial" w:cs="Arial"/>
          <w:spacing w:val="0"/>
        </w:rPr>
      </w:pPr>
    </w:p>
    <w:p w:rsidR="003C375C" w:rsidRPr="00E866B1" w:rsidRDefault="003C375C">
      <w:pPr>
        <w:rPr>
          <w:rFonts w:cs="Arial"/>
          <w:i/>
          <w:spacing w:val="0"/>
        </w:rPr>
      </w:pPr>
    </w:p>
    <w:p w:rsidR="00FF754E" w:rsidRPr="00E866B1" w:rsidRDefault="00FF754E" w:rsidP="00E866B1">
      <w:pPr>
        <w:jc w:val="center"/>
        <w:rPr>
          <w:rFonts w:cs="Arial"/>
          <w:b/>
          <w:spacing w:val="0"/>
          <w:sz w:val="40"/>
        </w:rPr>
      </w:pPr>
    </w:p>
    <w:p w:rsidR="00AD5422" w:rsidRPr="00E866B1" w:rsidRDefault="00AD5422" w:rsidP="00BD0584">
      <w:pPr>
        <w:pStyle w:val="Policyheading"/>
        <w:jc w:val="both"/>
        <w:rPr>
          <w:b/>
          <w:sz w:val="48"/>
          <w:szCs w:val="48"/>
        </w:rPr>
      </w:pPr>
    </w:p>
    <w:p w:rsidR="006508BA" w:rsidRDefault="006508BA" w:rsidP="006508BA">
      <w:pPr>
        <w:spacing w:after="360"/>
        <w:ind w:left="-284" w:right="119"/>
        <w:rPr>
          <w:rFonts w:cs="Arial"/>
          <w:bCs/>
          <w:color w:val="005EB8"/>
          <w:sz w:val="56"/>
          <w:szCs w:val="56"/>
        </w:rPr>
      </w:pPr>
      <w:r w:rsidRPr="00F17175">
        <w:rPr>
          <w:rFonts w:cs="Arial"/>
          <w:bCs/>
          <w:color w:val="005EB8"/>
          <w:sz w:val="56"/>
          <w:szCs w:val="56"/>
        </w:rPr>
        <w:t xml:space="preserve">Patient </w:t>
      </w:r>
      <w:r w:rsidR="00A07BCC">
        <w:rPr>
          <w:rFonts w:cs="Arial"/>
          <w:bCs/>
          <w:color w:val="005EB8"/>
          <w:sz w:val="56"/>
          <w:szCs w:val="56"/>
        </w:rPr>
        <w:t>S</w:t>
      </w:r>
      <w:r w:rsidRPr="00F17175">
        <w:rPr>
          <w:rFonts w:cs="Arial"/>
          <w:bCs/>
          <w:color w:val="005EB8"/>
          <w:sz w:val="56"/>
          <w:szCs w:val="56"/>
        </w:rPr>
        <w:t xml:space="preserve">afety </w:t>
      </w:r>
      <w:r w:rsidR="00A07BCC">
        <w:rPr>
          <w:rFonts w:cs="Arial"/>
          <w:bCs/>
          <w:color w:val="005EB8"/>
          <w:sz w:val="56"/>
          <w:szCs w:val="56"/>
        </w:rPr>
        <w:t>I</w:t>
      </w:r>
      <w:r w:rsidRPr="00F17175">
        <w:rPr>
          <w:rFonts w:cs="Arial"/>
          <w:bCs/>
          <w:color w:val="005EB8"/>
          <w:sz w:val="56"/>
          <w:szCs w:val="56"/>
        </w:rPr>
        <w:t xml:space="preserve">ncident </w:t>
      </w:r>
      <w:r w:rsidR="00A07BCC">
        <w:rPr>
          <w:rFonts w:cs="Arial"/>
          <w:bCs/>
          <w:color w:val="005EB8"/>
          <w:sz w:val="56"/>
          <w:szCs w:val="56"/>
        </w:rPr>
        <w:t>R</w:t>
      </w:r>
      <w:r>
        <w:rPr>
          <w:rFonts w:cs="Arial"/>
          <w:bCs/>
          <w:color w:val="005EB8"/>
          <w:sz w:val="56"/>
          <w:szCs w:val="56"/>
        </w:rPr>
        <w:t xml:space="preserve">esponse </w:t>
      </w:r>
      <w:r w:rsidR="00A07BCC">
        <w:rPr>
          <w:rFonts w:cs="Arial"/>
          <w:bCs/>
          <w:color w:val="005EB8"/>
          <w:sz w:val="56"/>
          <w:szCs w:val="56"/>
        </w:rPr>
        <w:t>P</w:t>
      </w:r>
      <w:r>
        <w:rPr>
          <w:rFonts w:cs="Arial"/>
          <w:bCs/>
          <w:color w:val="005EB8"/>
          <w:sz w:val="56"/>
          <w:szCs w:val="56"/>
        </w:rPr>
        <w:t>lan</w:t>
      </w:r>
      <w:r w:rsidR="00674F28">
        <w:rPr>
          <w:rFonts w:cs="Arial"/>
          <w:bCs/>
          <w:color w:val="005EB8"/>
          <w:sz w:val="56"/>
          <w:szCs w:val="56"/>
        </w:rPr>
        <w:t xml:space="preserve">     </w:t>
      </w:r>
    </w:p>
    <w:p w:rsidR="003C375C" w:rsidRPr="00E866B1" w:rsidRDefault="003C375C" w:rsidP="00E866B1">
      <w:pPr>
        <w:jc w:val="center"/>
        <w:rPr>
          <w:rFonts w:cs="Arial"/>
          <w:spacing w:val="0"/>
        </w:rPr>
      </w:pPr>
    </w:p>
    <w:p w:rsidR="0047290D" w:rsidRPr="0047290D" w:rsidRDefault="0047290D" w:rsidP="0047290D">
      <w:pPr>
        <w:jc w:val="left"/>
        <w:rPr>
          <w:rFonts w:cs="Arial"/>
          <w:spacing w:val="0"/>
        </w:rPr>
      </w:pPr>
      <w:r w:rsidRPr="0047290D">
        <w:rPr>
          <w:rFonts w:cs="Arial"/>
          <w:spacing w:val="0"/>
        </w:rPr>
        <w:t xml:space="preserve">Effective date: </w:t>
      </w:r>
      <w:r w:rsidR="00536AFD">
        <w:rPr>
          <w:rFonts w:cs="Arial"/>
          <w:spacing w:val="0"/>
        </w:rPr>
        <w:t>01 March 2024</w:t>
      </w:r>
    </w:p>
    <w:p w:rsidR="00FF754E" w:rsidRPr="00E866B1" w:rsidRDefault="0047290D" w:rsidP="0047290D">
      <w:pPr>
        <w:jc w:val="left"/>
        <w:rPr>
          <w:rFonts w:cs="Arial"/>
          <w:spacing w:val="0"/>
        </w:rPr>
      </w:pPr>
      <w:r w:rsidRPr="0047290D">
        <w:rPr>
          <w:rFonts w:cs="Arial"/>
          <w:spacing w:val="0"/>
        </w:rPr>
        <w:t xml:space="preserve">Estimated refresh date: </w:t>
      </w:r>
      <w:r w:rsidR="00536AFD">
        <w:rPr>
          <w:rFonts w:cs="Arial"/>
          <w:spacing w:val="0"/>
        </w:rPr>
        <w:t>31</w:t>
      </w:r>
      <w:r w:rsidRPr="0047290D">
        <w:rPr>
          <w:rFonts w:cs="Arial"/>
          <w:spacing w:val="0"/>
        </w:rPr>
        <w:t xml:space="preserve"> </w:t>
      </w:r>
      <w:r w:rsidR="00536AFD">
        <w:rPr>
          <w:rFonts w:cs="Arial"/>
          <w:spacing w:val="0"/>
        </w:rPr>
        <w:t>March</w:t>
      </w:r>
      <w:r w:rsidRPr="0047290D">
        <w:rPr>
          <w:rFonts w:cs="Arial"/>
          <w:spacing w:val="0"/>
        </w:rPr>
        <w:t xml:space="preserve"> 202</w:t>
      </w:r>
      <w:r w:rsidR="00536AFD">
        <w:rPr>
          <w:rFonts w:cs="Arial"/>
          <w:spacing w:val="0"/>
        </w:rPr>
        <w:t>5</w:t>
      </w:r>
    </w:p>
    <w:p w:rsidR="00FF754E" w:rsidRPr="00E866B1" w:rsidRDefault="00FF754E" w:rsidP="00E866B1">
      <w:pPr>
        <w:jc w:val="center"/>
        <w:rPr>
          <w:rFonts w:cs="Arial"/>
          <w:spacing w:val="0"/>
        </w:rPr>
      </w:pPr>
    </w:p>
    <w:p w:rsidR="006E362A" w:rsidRPr="00E866B1" w:rsidRDefault="006E362A" w:rsidP="00F173B5">
      <w:pPr>
        <w:jc w:val="right"/>
        <w:rPr>
          <w:rFonts w:cs="Arial"/>
          <w:spacing w:val="0"/>
        </w:rPr>
      </w:pPr>
    </w:p>
    <w:p w:rsidR="00B80DA1" w:rsidRPr="00E866B1" w:rsidRDefault="00B80DA1" w:rsidP="00E866B1">
      <w:pPr>
        <w:jc w:val="center"/>
        <w:rPr>
          <w:rFonts w:cs="Arial"/>
          <w:spacing w:val="0"/>
        </w:rPr>
      </w:pPr>
    </w:p>
    <w:p w:rsidR="006508BA" w:rsidRPr="009D211D" w:rsidRDefault="006F30A2" w:rsidP="009D211D">
      <w:pPr>
        <w:spacing w:after="600"/>
        <w:ind w:left="-284"/>
        <w:jc w:val="left"/>
        <w:rPr>
          <w:rFonts w:cs="Arial"/>
          <w:b/>
          <w:bCs/>
          <w:sz w:val="24"/>
          <w:szCs w:val="24"/>
        </w:rPr>
      </w:pPr>
      <w:r>
        <w:rPr>
          <w:rFonts w:cs="Arial"/>
          <w:b/>
          <w:bCs/>
          <w:sz w:val="24"/>
          <w:szCs w:val="24"/>
        </w:rPr>
        <w:t>Final Version 0.1</w:t>
      </w:r>
    </w:p>
    <w:tbl>
      <w:tblPr>
        <w:tblW w:w="9323"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2"/>
        <w:gridCol w:w="1809"/>
        <w:gridCol w:w="2835"/>
        <w:gridCol w:w="2977"/>
      </w:tblGrid>
      <w:tr w:rsidR="00B52575" w:rsidRPr="009D211D" w:rsidTr="00C03EA0">
        <w:tc>
          <w:tcPr>
            <w:tcW w:w="1702" w:type="dxa"/>
            <w:tcBorders>
              <w:top w:val="nil"/>
              <w:left w:val="nil"/>
              <w:bottom w:val="single" w:sz="4" w:space="0" w:color="000000"/>
              <w:right w:val="single" w:sz="4" w:space="0" w:color="000000"/>
            </w:tcBorders>
            <w:shd w:val="clear" w:color="auto" w:fill="auto"/>
          </w:tcPr>
          <w:p w:rsidR="00B52575" w:rsidRPr="009D211D" w:rsidRDefault="00B52575" w:rsidP="009D211D">
            <w:pPr>
              <w:pBdr>
                <w:top w:val="nil"/>
                <w:left w:val="nil"/>
                <w:bottom w:val="nil"/>
                <w:right w:val="nil"/>
                <w:between w:val="nil"/>
              </w:pBdr>
              <w:spacing w:before="40" w:after="40"/>
              <w:jc w:val="left"/>
              <w:rPr>
                <w:rFonts w:eastAsia="Arial" w:cs="Arial"/>
                <w:b/>
                <w:sz w:val="24"/>
                <w:szCs w:val="24"/>
              </w:rPr>
            </w:pPr>
          </w:p>
        </w:tc>
        <w:tc>
          <w:tcPr>
            <w:tcW w:w="1809" w:type="dxa"/>
            <w:tcBorders>
              <w:left w:val="nil"/>
            </w:tcBorders>
            <w:shd w:val="clear" w:color="auto" w:fill="auto"/>
          </w:tcPr>
          <w:p w:rsidR="00B52575" w:rsidRPr="009D211D" w:rsidRDefault="00B52575" w:rsidP="009D211D">
            <w:pPr>
              <w:pBdr>
                <w:top w:val="nil"/>
                <w:left w:val="nil"/>
                <w:bottom w:val="nil"/>
                <w:right w:val="nil"/>
                <w:between w:val="nil"/>
              </w:pBdr>
              <w:spacing w:before="40" w:after="40"/>
              <w:jc w:val="left"/>
              <w:rPr>
                <w:rFonts w:eastAsia="Arial" w:cs="Arial"/>
                <w:b/>
                <w:sz w:val="24"/>
                <w:szCs w:val="24"/>
              </w:rPr>
            </w:pPr>
            <w:r w:rsidRPr="009D211D">
              <w:rPr>
                <w:rFonts w:eastAsia="Arial" w:cs="Arial"/>
                <w:b/>
                <w:sz w:val="24"/>
                <w:szCs w:val="24"/>
              </w:rPr>
              <w:t>NAME</w:t>
            </w:r>
          </w:p>
        </w:tc>
        <w:tc>
          <w:tcPr>
            <w:tcW w:w="2835" w:type="dxa"/>
            <w:tcBorders>
              <w:left w:val="nil"/>
              <w:right w:val="single" w:sz="4" w:space="0" w:color="000000"/>
            </w:tcBorders>
            <w:shd w:val="clear" w:color="auto" w:fill="auto"/>
          </w:tcPr>
          <w:p w:rsidR="00B52575" w:rsidRPr="009D211D" w:rsidRDefault="00B52575" w:rsidP="009D211D">
            <w:pPr>
              <w:pBdr>
                <w:top w:val="nil"/>
                <w:left w:val="nil"/>
                <w:bottom w:val="nil"/>
                <w:right w:val="nil"/>
                <w:between w:val="nil"/>
              </w:pBdr>
              <w:spacing w:before="40" w:after="40"/>
              <w:jc w:val="left"/>
              <w:rPr>
                <w:rFonts w:eastAsia="Arial" w:cs="Arial"/>
                <w:b/>
                <w:sz w:val="24"/>
                <w:szCs w:val="24"/>
              </w:rPr>
            </w:pPr>
            <w:r w:rsidRPr="009D211D">
              <w:rPr>
                <w:rFonts w:eastAsia="Arial" w:cs="Arial"/>
                <w:b/>
                <w:sz w:val="24"/>
                <w:szCs w:val="24"/>
              </w:rPr>
              <w:t>TITLE</w:t>
            </w:r>
          </w:p>
        </w:tc>
        <w:tc>
          <w:tcPr>
            <w:tcW w:w="2977" w:type="dxa"/>
            <w:shd w:val="clear" w:color="auto" w:fill="auto"/>
          </w:tcPr>
          <w:p w:rsidR="00B52575" w:rsidRPr="009D211D" w:rsidRDefault="00B52575" w:rsidP="009D211D">
            <w:pPr>
              <w:pBdr>
                <w:top w:val="nil"/>
                <w:left w:val="nil"/>
                <w:bottom w:val="nil"/>
                <w:right w:val="nil"/>
                <w:between w:val="nil"/>
              </w:pBdr>
              <w:spacing w:before="40" w:after="40"/>
              <w:jc w:val="left"/>
              <w:rPr>
                <w:rFonts w:eastAsia="Arial" w:cs="Arial"/>
                <w:b/>
                <w:sz w:val="24"/>
                <w:szCs w:val="24"/>
              </w:rPr>
            </w:pPr>
            <w:r w:rsidRPr="009D211D">
              <w:rPr>
                <w:rFonts w:eastAsia="Arial" w:cs="Arial"/>
                <w:b/>
                <w:sz w:val="24"/>
                <w:szCs w:val="24"/>
              </w:rPr>
              <w:t>DATE</w:t>
            </w:r>
          </w:p>
        </w:tc>
      </w:tr>
      <w:tr w:rsidR="00B52575" w:rsidRPr="009D211D" w:rsidTr="00C03EA0">
        <w:trPr>
          <w:trHeight w:val="567"/>
        </w:trPr>
        <w:tc>
          <w:tcPr>
            <w:tcW w:w="1702" w:type="dxa"/>
            <w:tcBorders>
              <w:top w:val="single" w:sz="4" w:space="0" w:color="000000"/>
              <w:left w:val="single" w:sz="4" w:space="0" w:color="000000"/>
              <w:bottom w:val="single" w:sz="4" w:space="0" w:color="000000"/>
            </w:tcBorders>
            <w:shd w:val="clear" w:color="auto" w:fill="auto"/>
          </w:tcPr>
          <w:p w:rsidR="00B52575" w:rsidRPr="009D211D" w:rsidRDefault="00B52575" w:rsidP="009D211D">
            <w:pPr>
              <w:pBdr>
                <w:top w:val="nil"/>
                <w:left w:val="nil"/>
                <w:bottom w:val="nil"/>
                <w:right w:val="nil"/>
                <w:between w:val="nil"/>
              </w:pBdr>
              <w:spacing w:before="40" w:after="40"/>
              <w:jc w:val="left"/>
              <w:rPr>
                <w:rFonts w:eastAsia="Arial" w:cs="Arial"/>
                <w:b/>
                <w:sz w:val="24"/>
                <w:szCs w:val="24"/>
              </w:rPr>
            </w:pPr>
            <w:r w:rsidRPr="009D211D">
              <w:rPr>
                <w:rFonts w:eastAsia="Arial" w:cs="Arial"/>
                <w:b/>
                <w:sz w:val="24"/>
                <w:szCs w:val="24"/>
              </w:rPr>
              <w:t>Author</w:t>
            </w:r>
          </w:p>
        </w:tc>
        <w:tc>
          <w:tcPr>
            <w:tcW w:w="1809" w:type="dxa"/>
            <w:shd w:val="clear" w:color="auto" w:fill="auto"/>
          </w:tcPr>
          <w:p w:rsidR="00B52575" w:rsidRPr="009D211D" w:rsidRDefault="00B52575" w:rsidP="009D211D">
            <w:pPr>
              <w:pBdr>
                <w:top w:val="nil"/>
                <w:left w:val="nil"/>
                <w:bottom w:val="nil"/>
                <w:right w:val="nil"/>
                <w:between w:val="nil"/>
              </w:pBdr>
              <w:spacing w:before="40" w:after="40"/>
              <w:jc w:val="left"/>
              <w:rPr>
                <w:rFonts w:eastAsia="Arial" w:cs="Arial"/>
                <w:b/>
                <w:sz w:val="24"/>
                <w:szCs w:val="24"/>
              </w:rPr>
            </w:pPr>
            <w:r w:rsidRPr="009D211D">
              <w:rPr>
                <w:rFonts w:eastAsia="Arial" w:cs="Arial"/>
                <w:b/>
                <w:sz w:val="24"/>
                <w:szCs w:val="24"/>
              </w:rPr>
              <w:t>Denise Hylton-Mcintosh</w:t>
            </w:r>
          </w:p>
        </w:tc>
        <w:tc>
          <w:tcPr>
            <w:tcW w:w="2835" w:type="dxa"/>
            <w:shd w:val="clear" w:color="auto" w:fill="auto"/>
          </w:tcPr>
          <w:p w:rsidR="00B52575" w:rsidRPr="009D211D" w:rsidRDefault="00B52575" w:rsidP="009D211D">
            <w:pPr>
              <w:pBdr>
                <w:top w:val="nil"/>
                <w:left w:val="nil"/>
                <w:bottom w:val="nil"/>
                <w:right w:val="nil"/>
                <w:between w:val="nil"/>
              </w:pBdr>
              <w:spacing w:before="40" w:after="40"/>
              <w:jc w:val="left"/>
              <w:rPr>
                <w:rFonts w:eastAsia="Arial" w:cs="Arial"/>
                <w:b/>
                <w:sz w:val="24"/>
                <w:szCs w:val="24"/>
              </w:rPr>
            </w:pPr>
            <w:r w:rsidRPr="009D211D">
              <w:rPr>
                <w:rFonts w:eastAsia="Arial" w:cs="Arial"/>
                <w:b/>
                <w:sz w:val="24"/>
                <w:szCs w:val="24"/>
              </w:rPr>
              <w:t xml:space="preserve">Head of Patient Safety </w:t>
            </w:r>
          </w:p>
        </w:tc>
        <w:tc>
          <w:tcPr>
            <w:tcW w:w="2977" w:type="dxa"/>
            <w:shd w:val="clear" w:color="auto" w:fill="auto"/>
          </w:tcPr>
          <w:p w:rsidR="00B52575" w:rsidRPr="009D211D" w:rsidRDefault="00B52575" w:rsidP="009D211D">
            <w:pPr>
              <w:pBdr>
                <w:top w:val="nil"/>
                <w:left w:val="nil"/>
                <w:bottom w:val="nil"/>
                <w:right w:val="nil"/>
                <w:between w:val="nil"/>
              </w:pBdr>
              <w:spacing w:before="40" w:after="40"/>
              <w:jc w:val="left"/>
              <w:rPr>
                <w:rFonts w:eastAsia="Arial" w:cs="Arial"/>
                <w:b/>
                <w:sz w:val="24"/>
                <w:szCs w:val="24"/>
              </w:rPr>
            </w:pPr>
            <w:r w:rsidRPr="009D211D">
              <w:rPr>
                <w:rFonts w:eastAsia="Arial" w:cs="Arial"/>
                <w:b/>
                <w:sz w:val="24"/>
                <w:szCs w:val="24"/>
              </w:rPr>
              <w:t>18 June 2023</w:t>
            </w:r>
          </w:p>
        </w:tc>
      </w:tr>
      <w:tr w:rsidR="00B52575" w:rsidRPr="009D211D" w:rsidTr="00C03EA0">
        <w:trPr>
          <w:trHeight w:val="1790"/>
        </w:trPr>
        <w:tc>
          <w:tcPr>
            <w:tcW w:w="1702" w:type="dxa"/>
            <w:tcBorders>
              <w:top w:val="single" w:sz="4" w:space="0" w:color="000000"/>
              <w:left w:val="single" w:sz="4" w:space="0" w:color="000000"/>
              <w:bottom w:val="single" w:sz="4" w:space="0" w:color="000000"/>
            </w:tcBorders>
            <w:shd w:val="clear" w:color="auto" w:fill="auto"/>
          </w:tcPr>
          <w:p w:rsidR="00B52575" w:rsidRPr="009D211D" w:rsidRDefault="00B52575" w:rsidP="009D211D">
            <w:pPr>
              <w:pBdr>
                <w:top w:val="nil"/>
                <w:left w:val="nil"/>
                <w:bottom w:val="nil"/>
                <w:right w:val="nil"/>
                <w:between w:val="nil"/>
              </w:pBdr>
              <w:spacing w:before="40" w:after="40"/>
              <w:jc w:val="left"/>
              <w:rPr>
                <w:rFonts w:eastAsia="Arial" w:cs="Arial"/>
                <w:b/>
                <w:sz w:val="24"/>
                <w:szCs w:val="24"/>
              </w:rPr>
            </w:pPr>
            <w:r w:rsidRPr="009D211D">
              <w:rPr>
                <w:rFonts w:eastAsia="Arial" w:cs="Arial"/>
                <w:b/>
                <w:sz w:val="24"/>
                <w:szCs w:val="24"/>
              </w:rPr>
              <w:t>Reviewer</w:t>
            </w:r>
          </w:p>
        </w:tc>
        <w:tc>
          <w:tcPr>
            <w:tcW w:w="1809" w:type="dxa"/>
            <w:shd w:val="clear" w:color="auto" w:fill="auto"/>
          </w:tcPr>
          <w:p w:rsidR="00B52575" w:rsidRPr="009D211D" w:rsidRDefault="00B52575" w:rsidP="009D211D">
            <w:pPr>
              <w:pBdr>
                <w:top w:val="nil"/>
                <w:left w:val="nil"/>
                <w:bottom w:val="nil"/>
                <w:right w:val="nil"/>
                <w:between w:val="nil"/>
              </w:pBdr>
              <w:spacing w:before="40" w:after="40"/>
              <w:jc w:val="left"/>
              <w:rPr>
                <w:rFonts w:eastAsia="Arial" w:cs="Arial"/>
                <w:b/>
                <w:sz w:val="24"/>
                <w:szCs w:val="24"/>
              </w:rPr>
            </w:pPr>
            <w:r w:rsidRPr="009D211D">
              <w:rPr>
                <w:rFonts w:eastAsia="Arial" w:cs="Arial"/>
                <w:b/>
                <w:sz w:val="24"/>
                <w:szCs w:val="24"/>
              </w:rPr>
              <w:t>Quality Committee</w:t>
            </w:r>
          </w:p>
          <w:p w:rsidR="00C03EA0" w:rsidRPr="009D211D" w:rsidRDefault="00C03EA0" w:rsidP="009D211D">
            <w:pPr>
              <w:pBdr>
                <w:top w:val="nil"/>
                <w:left w:val="nil"/>
                <w:bottom w:val="nil"/>
                <w:right w:val="nil"/>
                <w:between w:val="nil"/>
              </w:pBdr>
              <w:spacing w:before="40" w:after="40"/>
              <w:jc w:val="left"/>
              <w:rPr>
                <w:rFonts w:eastAsia="Arial" w:cs="Arial"/>
                <w:b/>
                <w:sz w:val="24"/>
                <w:szCs w:val="24"/>
              </w:rPr>
            </w:pPr>
          </w:p>
          <w:p w:rsidR="00C03EA0" w:rsidRPr="009D211D" w:rsidRDefault="00C03EA0" w:rsidP="009D211D">
            <w:pPr>
              <w:pBdr>
                <w:top w:val="nil"/>
                <w:left w:val="nil"/>
                <w:bottom w:val="nil"/>
                <w:right w:val="nil"/>
                <w:between w:val="nil"/>
              </w:pBdr>
              <w:spacing w:before="40" w:after="40"/>
              <w:jc w:val="left"/>
              <w:rPr>
                <w:rFonts w:eastAsia="Arial" w:cs="Arial"/>
                <w:b/>
                <w:sz w:val="24"/>
                <w:szCs w:val="24"/>
              </w:rPr>
            </w:pPr>
          </w:p>
          <w:p w:rsidR="00C03EA0" w:rsidRPr="009D211D" w:rsidRDefault="00C03EA0" w:rsidP="009D211D">
            <w:pPr>
              <w:pBdr>
                <w:top w:val="nil"/>
                <w:left w:val="nil"/>
                <w:bottom w:val="nil"/>
                <w:right w:val="nil"/>
                <w:between w:val="nil"/>
              </w:pBdr>
              <w:spacing w:before="40" w:after="40"/>
              <w:jc w:val="left"/>
              <w:rPr>
                <w:rFonts w:eastAsia="Arial" w:cs="Arial"/>
                <w:b/>
                <w:sz w:val="24"/>
                <w:szCs w:val="24"/>
              </w:rPr>
            </w:pPr>
          </w:p>
          <w:p w:rsidR="00C03EA0" w:rsidRPr="009D211D" w:rsidRDefault="00C03EA0" w:rsidP="009D211D">
            <w:pPr>
              <w:pBdr>
                <w:top w:val="nil"/>
                <w:left w:val="nil"/>
                <w:bottom w:val="nil"/>
                <w:right w:val="nil"/>
                <w:between w:val="nil"/>
              </w:pBdr>
              <w:spacing w:before="40" w:after="40"/>
              <w:jc w:val="left"/>
              <w:rPr>
                <w:rFonts w:eastAsia="Arial" w:cs="Arial"/>
                <w:b/>
                <w:sz w:val="24"/>
                <w:szCs w:val="24"/>
              </w:rPr>
            </w:pPr>
          </w:p>
          <w:p w:rsidR="00C03EA0" w:rsidRPr="009D211D" w:rsidRDefault="00C03EA0" w:rsidP="009D211D">
            <w:pPr>
              <w:pBdr>
                <w:top w:val="nil"/>
                <w:left w:val="nil"/>
                <w:bottom w:val="nil"/>
                <w:right w:val="nil"/>
                <w:between w:val="nil"/>
              </w:pBdr>
              <w:spacing w:before="40" w:after="40"/>
              <w:jc w:val="left"/>
              <w:rPr>
                <w:rFonts w:eastAsia="Arial" w:cs="Arial"/>
                <w:b/>
                <w:sz w:val="24"/>
                <w:szCs w:val="24"/>
              </w:rPr>
            </w:pPr>
            <w:r w:rsidRPr="009D211D">
              <w:rPr>
                <w:rFonts w:eastAsia="Arial" w:cs="Arial"/>
                <w:b/>
                <w:sz w:val="24"/>
                <w:szCs w:val="24"/>
              </w:rPr>
              <w:t>I</w:t>
            </w:r>
            <w:r w:rsidR="001A4AD5">
              <w:rPr>
                <w:rFonts w:eastAsia="Arial" w:cs="Arial"/>
                <w:b/>
                <w:sz w:val="24"/>
                <w:szCs w:val="24"/>
              </w:rPr>
              <w:t xml:space="preserve">ntegrated </w:t>
            </w:r>
            <w:r w:rsidRPr="009D211D">
              <w:rPr>
                <w:rFonts w:eastAsia="Arial" w:cs="Arial"/>
                <w:b/>
                <w:sz w:val="24"/>
                <w:szCs w:val="24"/>
              </w:rPr>
              <w:t>C</w:t>
            </w:r>
            <w:r w:rsidR="001A4AD5">
              <w:rPr>
                <w:rFonts w:eastAsia="Arial" w:cs="Arial"/>
                <w:b/>
                <w:sz w:val="24"/>
                <w:szCs w:val="24"/>
              </w:rPr>
              <w:t xml:space="preserve">are </w:t>
            </w:r>
            <w:r w:rsidRPr="009D211D">
              <w:rPr>
                <w:rFonts w:eastAsia="Arial" w:cs="Arial"/>
                <w:b/>
                <w:sz w:val="24"/>
                <w:szCs w:val="24"/>
              </w:rPr>
              <w:t>B</w:t>
            </w:r>
            <w:r w:rsidR="001A4AD5">
              <w:rPr>
                <w:rFonts w:eastAsia="Arial" w:cs="Arial"/>
                <w:b/>
                <w:sz w:val="24"/>
                <w:szCs w:val="24"/>
              </w:rPr>
              <w:t>oard (ICB)</w:t>
            </w:r>
          </w:p>
        </w:tc>
        <w:tc>
          <w:tcPr>
            <w:tcW w:w="2835" w:type="dxa"/>
            <w:shd w:val="clear" w:color="auto" w:fill="auto"/>
          </w:tcPr>
          <w:p w:rsidR="00B52575" w:rsidRPr="009D211D" w:rsidRDefault="00B52575" w:rsidP="009D211D">
            <w:pPr>
              <w:pBdr>
                <w:top w:val="nil"/>
                <w:left w:val="nil"/>
                <w:bottom w:val="nil"/>
                <w:right w:val="nil"/>
                <w:between w:val="nil"/>
              </w:pBdr>
              <w:spacing w:before="40" w:after="40"/>
              <w:jc w:val="left"/>
              <w:rPr>
                <w:rFonts w:eastAsia="Arial" w:cs="Arial"/>
                <w:b/>
                <w:sz w:val="24"/>
                <w:szCs w:val="24"/>
              </w:rPr>
            </w:pPr>
            <w:r w:rsidRPr="009D211D">
              <w:rPr>
                <w:rFonts w:eastAsia="Arial" w:cs="Arial"/>
                <w:b/>
                <w:sz w:val="24"/>
                <w:szCs w:val="24"/>
              </w:rPr>
              <w:t xml:space="preserve">Members include Chief </w:t>
            </w:r>
            <w:bookmarkStart w:id="1" w:name="_Hlk158276425"/>
            <w:r w:rsidRPr="009D211D">
              <w:rPr>
                <w:rFonts w:eastAsia="Arial" w:cs="Arial"/>
                <w:b/>
                <w:sz w:val="24"/>
                <w:szCs w:val="24"/>
              </w:rPr>
              <w:t>Nurs</w:t>
            </w:r>
            <w:r w:rsidR="001A4AD5">
              <w:rPr>
                <w:rFonts w:eastAsia="Arial" w:cs="Arial"/>
                <w:b/>
                <w:sz w:val="24"/>
                <w:szCs w:val="24"/>
              </w:rPr>
              <w:t>ing Officer</w:t>
            </w:r>
            <w:bookmarkEnd w:id="1"/>
            <w:r w:rsidRPr="009D211D">
              <w:rPr>
                <w:rFonts w:eastAsia="Arial" w:cs="Arial"/>
                <w:b/>
                <w:sz w:val="24"/>
                <w:szCs w:val="24"/>
              </w:rPr>
              <w:t xml:space="preserve">, Deputy Chief </w:t>
            </w:r>
            <w:r w:rsidR="001A4AD5" w:rsidRPr="001A4AD5">
              <w:rPr>
                <w:rFonts w:eastAsia="Arial" w:cs="Arial"/>
                <w:b/>
                <w:sz w:val="24"/>
                <w:szCs w:val="24"/>
              </w:rPr>
              <w:t>Nursing Officer</w:t>
            </w:r>
            <w:r w:rsidRPr="009D211D">
              <w:rPr>
                <w:rFonts w:eastAsia="Arial" w:cs="Arial"/>
                <w:b/>
                <w:sz w:val="24"/>
                <w:szCs w:val="24"/>
              </w:rPr>
              <w:t xml:space="preserve">, </w:t>
            </w:r>
            <w:r w:rsidR="001A4AD5">
              <w:rPr>
                <w:rFonts w:eastAsia="Arial" w:cs="Arial"/>
                <w:b/>
                <w:sz w:val="24"/>
                <w:szCs w:val="24"/>
              </w:rPr>
              <w:t xml:space="preserve">Chief </w:t>
            </w:r>
            <w:r w:rsidRPr="009D211D">
              <w:rPr>
                <w:rFonts w:eastAsia="Arial" w:cs="Arial"/>
                <w:b/>
                <w:sz w:val="24"/>
                <w:szCs w:val="24"/>
              </w:rPr>
              <w:t xml:space="preserve">Medical </w:t>
            </w:r>
            <w:bookmarkStart w:id="2" w:name="_Hlk158277173"/>
            <w:r w:rsidR="00122238">
              <w:rPr>
                <w:rFonts w:eastAsia="Arial" w:cs="Arial"/>
                <w:b/>
                <w:sz w:val="24"/>
                <w:szCs w:val="24"/>
              </w:rPr>
              <w:t>Officer</w:t>
            </w:r>
            <w:bookmarkEnd w:id="2"/>
            <w:r w:rsidRPr="009D211D">
              <w:rPr>
                <w:rFonts w:eastAsia="Arial" w:cs="Arial"/>
                <w:b/>
                <w:sz w:val="24"/>
                <w:szCs w:val="24"/>
              </w:rPr>
              <w:t xml:space="preserve">, Non-Executive Director, Patient </w:t>
            </w:r>
            <w:r w:rsidR="001A4AD5">
              <w:rPr>
                <w:rFonts w:eastAsia="Arial" w:cs="Arial"/>
                <w:b/>
                <w:sz w:val="24"/>
                <w:szCs w:val="24"/>
              </w:rPr>
              <w:t xml:space="preserve">Safety </w:t>
            </w:r>
            <w:r w:rsidRPr="009D211D">
              <w:rPr>
                <w:rFonts w:eastAsia="Arial" w:cs="Arial"/>
                <w:b/>
                <w:sz w:val="24"/>
                <w:szCs w:val="24"/>
              </w:rPr>
              <w:t>Partners</w:t>
            </w:r>
          </w:p>
          <w:p w:rsidR="00C03EA0" w:rsidRPr="009D211D" w:rsidRDefault="00C03EA0" w:rsidP="009D211D">
            <w:pPr>
              <w:pBdr>
                <w:top w:val="nil"/>
                <w:left w:val="nil"/>
                <w:bottom w:val="nil"/>
                <w:right w:val="nil"/>
                <w:between w:val="nil"/>
              </w:pBdr>
              <w:spacing w:before="40" w:after="40"/>
              <w:jc w:val="left"/>
              <w:rPr>
                <w:rFonts w:eastAsia="Arial" w:cs="Arial"/>
                <w:b/>
                <w:sz w:val="24"/>
                <w:szCs w:val="24"/>
              </w:rPr>
            </w:pPr>
          </w:p>
          <w:p w:rsidR="001A4AD5" w:rsidRDefault="001A4AD5" w:rsidP="009D211D">
            <w:pPr>
              <w:pBdr>
                <w:top w:val="nil"/>
                <w:left w:val="nil"/>
                <w:bottom w:val="nil"/>
                <w:right w:val="nil"/>
                <w:between w:val="nil"/>
              </w:pBdr>
              <w:spacing w:before="40" w:after="40"/>
              <w:jc w:val="left"/>
              <w:rPr>
                <w:rFonts w:eastAsia="Arial" w:cs="Arial"/>
                <w:b/>
                <w:sz w:val="24"/>
                <w:szCs w:val="24"/>
              </w:rPr>
            </w:pPr>
          </w:p>
          <w:p w:rsidR="00C03EA0" w:rsidRPr="009D211D" w:rsidRDefault="00C03EA0" w:rsidP="009D211D">
            <w:pPr>
              <w:pBdr>
                <w:top w:val="nil"/>
                <w:left w:val="nil"/>
                <w:bottom w:val="nil"/>
                <w:right w:val="nil"/>
                <w:between w:val="nil"/>
              </w:pBdr>
              <w:spacing w:before="40" w:after="40"/>
              <w:jc w:val="left"/>
              <w:rPr>
                <w:rFonts w:eastAsia="Arial" w:cs="Arial"/>
                <w:b/>
                <w:sz w:val="24"/>
                <w:szCs w:val="24"/>
              </w:rPr>
            </w:pPr>
            <w:r w:rsidRPr="009D211D">
              <w:rPr>
                <w:rFonts w:eastAsia="Arial" w:cs="Arial"/>
                <w:b/>
                <w:sz w:val="24"/>
                <w:szCs w:val="24"/>
              </w:rPr>
              <w:t>PSIRF Lead</w:t>
            </w:r>
          </w:p>
        </w:tc>
        <w:tc>
          <w:tcPr>
            <w:tcW w:w="2977" w:type="dxa"/>
            <w:shd w:val="clear" w:color="auto" w:fill="auto"/>
          </w:tcPr>
          <w:p w:rsidR="00B52575" w:rsidRPr="009D211D" w:rsidRDefault="00B52575" w:rsidP="009D211D">
            <w:pPr>
              <w:pBdr>
                <w:top w:val="nil"/>
                <w:left w:val="nil"/>
                <w:bottom w:val="nil"/>
                <w:right w:val="nil"/>
                <w:between w:val="nil"/>
              </w:pBdr>
              <w:spacing w:before="40" w:after="40"/>
              <w:jc w:val="left"/>
              <w:rPr>
                <w:rFonts w:eastAsia="Arial" w:cs="Arial"/>
                <w:b/>
                <w:sz w:val="24"/>
                <w:szCs w:val="24"/>
              </w:rPr>
            </w:pPr>
            <w:r w:rsidRPr="009D211D">
              <w:rPr>
                <w:rFonts w:eastAsia="Arial" w:cs="Arial"/>
                <w:b/>
                <w:sz w:val="24"/>
                <w:szCs w:val="24"/>
              </w:rPr>
              <w:t>20 July 2023</w:t>
            </w:r>
          </w:p>
          <w:p w:rsidR="00C03EA0" w:rsidRPr="009D211D" w:rsidRDefault="00C03EA0" w:rsidP="009D211D">
            <w:pPr>
              <w:pBdr>
                <w:top w:val="nil"/>
                <w:left w:val="nil"/>
                <w:bottom w:val="nil"/>
                <w:right w:val="nil"/>
                <w:between w:val="nil"/>
              </w:pBdr>
              <w:spacing w:before="40" w:after="40"/>
              <w:jc w:val="left"/>
              <w:rPr>
                <w:rFonts w:eastAsia="Arial" w:cs="Arial"/>
                <w:b/>
                <w:sz w:val="24"/>
                <w:szCs w:val="24"/>
              </w:rPr>
            </w:pPr>
          </w:p>
          <w:p w:rsidR="00C03EA0" w:rsidRPr="009D211D" w:rsidRDefault="00C03EA0" w:rsidP="009D211D">
            <w:pPr>
              <w:pBdr>
                <w:top w:val="nil"/>
                <w:left w:val="nil"/>
                <w:bottom w:val="nil"/>
                <w:right w:val="nil"/>
                <w:between w:val="nil"/>
              </w:pBdr>
              <w:spacing w:before="40" w:after="40"/>
              <w:jc w:val="left"/>
              <w:rPr>
                <w:rFonts w:eastAsia="Arial" w:cs="Arial"/>
                <w:b/>
                <w:sz w:val="24"/>
                <w:szCs w:val="24"/>
              </w:rPr>
            </w:pPr>
          </w:p>
          <w:p w:rsidR="00C03EA0" w:rsidRPr="009D211D" w:rsidRDefault="00C03EA0" w:rsidP="009D211D">
            <w:pPr>
              <w:pBdr>
                <w:top w:val="nil"/>
                <w:left w:val="nil"/>
                <w:bottom w:val="nil"/>
                <w:right w:val="nil"/>
                <w:between w:val="nil"/>
              </w:pBdr>
              <w:spacing w:before="40" w:after="40"/>
              <w:jc w:val="left"/>
              <w:rPr>
                <w:rFonts w:eastAsia="Arial" w:cs="Arial"/>
                <w:b/>
                <w:sz w:val="24"/>
                <w:szCs w:val="24"/>
              </w:rPr>
            </w:pPr>
          </w:p>
          <w:p w:rsidR="00C03EA0" w:rsidRPr="009D211D" w:rsidRDefault="00C03EA0" w:rsidP="009D211D">
            <w:pPr>
              <w:pBdr>
                <w:top w:val="nil"/>
                <w:left w:val="nil"/>
                <w:bottom w:val="nil"/>
                <w:right w:val="nil"/>
                <w:between w:val="nil"/>
              </w:pBdr>
              <w:spacing w:before="40" w:after="40"/>
              <w:jc w:val="left"/>
              <w:rPr>
                <w:rFonts w:eastAsia="Arial" w:cs="Arial"/>
                <w:b/>
                <w:sz w:val="24"/>
                <w:szCs w:val="24"/>
              </w:rPr>
            </w:pPr>
          </w:p>
          <w:p w:rsidR="001A4AD5" w:rsidRDefault="001A4AD5" w:rsidP="009D211D">
            <w:pPr>
              <w:pBdr>
                <w:top w:val="nil"/>
                <w:left w:val="nil"/>
                <w:bottom w:val="nil"/>
                <w:right w:val="nil"/>
                <w:between w:val="nil"/>
              </w:pBdr>
              <w:spacing w:before="40" w:after="40"/>
              <w:jc w:val="left"/>
              <w:rPr>
                <w:rFonts w:eastAsia="Arial" w:cs="Arial"/>
                <w:b/>
                <w:sz w:val="24"/>
                <w:szCs w:val="24"/>
              </w:rPr>
            </w:pPr>
          </w:p>
          <w:p w:rsidR="00C03EA0" w:rsidRDefault="00C03EA0" w:rsidP="009D211D">
            <w:pPr>
              <w:pBdr>
                <w:top w:val="nil"/>
                <w:left w:val="nil"/>
                <w:bottom w:val="nil"/>
                <w:right w:val="nil"/>
                <w:between w:val="nil"/>
              </w:pBdr>
              <w:spacing w:before="40" w:after="40"/>
              <w:jc w:val="left"/>
              <w:rPr>
                <w:rFonts w:eastAsia="Arial" w:cs="Arial"/>
                <w:b/>
                <w:sz w:val="24"/>
                <w:szCs w:val="24"/>
              </w:rPr>
            </w:pPr>
            <w:r w:rsidRPr="009D211D">
              <w:rPr>
                <w:rFonts w:eastAsia="Arial" w:cs="Arial"/>
                <w:b/>
                <w:sz w:val="24"/>
                <w:szCs w:val="24"/>
              </w:rPr>
              <w:t>18 August 2023</w:t>
            </w:r>
          </w:p>
          <w:p w:rsidR="00E167A8" w:rsidRPr="009D211D" w:rsidRDefault="00E167A8" w:rsidP="009D211D">
            <w:pPr>
              <w:pBdr>
                <w:top w:val="nil"/>
                <w:left w:val="nil"/>
                <w:bottom w:val="nil"/>
                <w:right w:val="nil"/>
                <w:between w:val="nil"/>
              </w:pBdr>
              <w:spacing w:before="40" w:after="40"/>
              <w:jc w:val="left"/>
              <w:rPr>
                <w:rFonts w:eastAsia="Arial" w:cs="Arial"/>
                <w:b/>
                <w:sz w:val="24"/>
                <w:szCs w:val="24"/>
              </w:rPr>
            </w:pPr>
            <w:r>
              <w:rPr>
                <w:rFonts w:eastAsia="Arial" w:cs="Arial"/>
                <w:b/>
                <w:sz w:val="24"/>
                <w:szCs w:val="24"/>
              </w:rPr>
              <w:t>12 December 2023</w:t>
            </w:r>
          </w:p>
        </w:tc>
      </w:tr>
      <w:tr w:rsidR="00B52575" w:rsidRPr="009D211D" w:rsidTr="00C03EA0">
        <w:trPr>
          <w:trHeight w:val="567"/>
        </w:trPr>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52575" w:rsidRPr="009D211D" w:rsidRDefault="0023176E" w:rsidP="009D211D">
            <w:pPr>
              <w:pBdr>
                <w:top w:val="nil"/>
                <w:left w:val="nil"/>
                <w:bottom w:val="nil"/>
                <w:right w:val="nil"/>
                <w:between w:val="nil"/>
              </w:pBdr>
              <w:spacing w:before="40" w:after="40"/>
              <w:jc w:val="left"/>
              <w:rPr>
                <w:rFonts w:eastAsia="Arial" w:cs="Arial"/>
                <w:b/>
                <w:sz w:val="24"/>
                <w:szCs w:val="24"/>
              </w:rPr>
            </w:pPr>
            <w:r w:rsidRPr="009D211D">
              <w:rPr>
                <w:rFonts w:eastAsia="Arial" w:cs="Arial"/>
                <w:b/>
                <w:sz w:val="24"/>
                <w:szCs w:val="24"/>
              </w:rPr>
              <w:t xml:space="preserve">Final </w:t>
            </w:r>
            <w:r w:rsidR="00B52575" w:rsidRPr="009D211D">
              <w:rPr>
                <w:rFonts w:eastAsia="Arial" w:cs="Arial"/>
                <w:b/>
                <w:sz w:val="24"/>
                <w:szCs w:val="24"/>
              </w:rPr>
              <w:t>Authoriser</w:t>
            </w:r>
          </w:p>
        </w:tc>
        <w:tc>
          <w:tcPr>
            <w:tcW w:w="1809" w:type="dxa"/>
            <w:tcBorders>
              <w:left w:val="nil"/>
            </w:tcBorders>
            <w:shd w:val="clear" w:color="auto" w:fill="auto"/>
          </w:tcPr>
          <w:p w:rsidR="001A4AD5" w:rsidRDefault="00B52575" w:rsidP="009D211D">
            <w:pPr>
              <w:pBdr>
                <w:top w:val="nil"/>
                <w:left w:val="nil"/>
                <w:bottom w:val="nil"/>
                <w:right w:val="nil"/>
                <w:between w:val="nil"/>
              </w:pBdr>
              <w:spacing w:before="40" w:after="40"/>
              <w:jc w:val="left"/>
              <w:rPr>
                <w:rFonts w:eastAsia="Arial" w:cs="Arial"/>
                <w:b/>
                <w:sz w:val="24"/>
                <w:szCs w:val="24"/>
              </w:rPr>
            </w:pPr>
            <w:r w:rsidRPr="009D211D">
              <w:rPr>
                <w:rFonts w:eastAsia="Arial" w:cs="Arial"/>
                <w:b/>
                <w:sz w:val="24"/>
                <w:szCs w:val="24"/>
              </w:rPr>
              <w:t xml:space="preserve">Quality Committee </w:t>
            </w:r>
          </w:p>
          <w:p w:rsidR="00B52575" w:rsidRPr="009D211D" w:rsidRDefault="00B52575" w:rsidP="009D211D">
            <w:pPr>
              <w:pBdr>
                <w:top w:val="nil"/>
                <w:left w:val="nil"/>
                <w:bottom w:val="nil"/>
                <w:right w:val="nil"/>
                <w:between w:val="nil"/>
              </w:pBdr>
              <w:spacing w:before="40" w:after="40"/>
              <w:jc w:val="left"/>
              <w:rPr>
                <w:rFonts w:eastAsia="Arial" w:cs="Arial"/>
                <w:b/>
                <w:sz w:val="24"/>
                <w:szCs w:val="24"/>
              </w:rPr>
            </w:pPr>
            <w:r w:rsidRPr="009D211D">
              <w:rPr>
                <w:rFonts w:eastAsia="Arial" w:cs="Arial"/>
                <w:b/>
                <w:sz w:val="24"/>
                <w:szCs w:val="24"/>
              </w:rPr>
              <w:t>ICB</w:t>
            </w:r>
          </w:p>
        </w:tc>
        <w:tc>
          <w:tcPr>
            <w:tcW w:w="2835" w:type="dxa"/>
            <w:tcBorders>
              <w:left w:val="nil"/>
              <w:right w:val="single" w:sz="4" w:space="0" w:color="000000"/>
            </w:tcBorders>
            <w:shd w:val="clear" w:color="auto" w:fill="auto"/>
          </w:tcPr>
          <w:p w:rsidR="00B52575" w:rsidRPr="009D211D" w:rsidRDefault="00B52575" w:rsidP="009D211D">
            <w:pPr>
              <w:pBdr>
                <w:top w:val="nil"/>
                <w:left w:val="nil"/>
                <w:bottom w:val="nil"/>
                <w:right w:val="nil"/>
                <w:between w:val="nil"/>
              </w:pBdr>
              <w:spacing w:before="40" w:after="40"/>
              <w:jc w:val="left"/>
              <w:rPr>
                <w:rFonts w:eastAsia="Arial" w:cs="Arial"/>
                <w:b/>
                <w:sz w:val="24"/>
                <w:szCs w:val="24"/>
              </w:rPr>
            </w:pPr>
          </w:p>
        </w:tc>
        <w:tc>
          <w:tcPr>
            <w:tcW w:w="2977" w:type="dxa"/>
            <w:shd w:val="clear" w:color="auto" w:fill="auto"/>
          </w:tcPr>
          <w:p w:rsidR="00B52575" w:rsidRPr="009D211D" w:rsidRDefault="00C03EA0" w:rsidP="009D211D">
            <w:pPr>
              <w:pBdr>
                <w:top w:val="nil"/>
                <w:left w:val="nil"/>
                <w:bottom w:val="nil"/>
                <w:right w:val="nil"/>
                <w:between w:val="nil"/>
              </w:pBdr>
              <w:spacing w:before="40" w:after="40"/>
              <w:jc w:val="left"/>
              <w:rPr>
                <w:rFonts w:eastAsia="Arial" w:cs="Arial"/>
                <w:b/>
                <w:sz w:val="24"/>
                <w:szCs w:val="24"/>
              </w:rPr>
            </w:pPr>
            <w:r w:rsidRPr="009D211D">
              <w:rPr>
                <w:rFonts w:eastAsia="Arial" w:cs="Arial"/>
                <w:b/>
                <w:sz w:val="24"/>
                <w:szCs w:val="24"/>
              </w:rPr>
              <w:t>25</w:t>
            </w:r>
            <w:r w:rsidR="0023176E" w:rsidRPr="009D211D">
              <w:rPr>
                <w:rFonts w:eastAsia="Arial" w:cs="Arial"/>
                <w:b/>
                <w:sz w:val="24"/>
                <w:szCs w:val="24"/>
              </w:rPr>
              <w:t xml:space="preserve"> August 2023</w:t>
            </w:r>
          </w:p>
          <w:p w:rsidR="00C03EA0" w:rsidRDefault="00C03EA0" w:rsidP="009D211D">
            <w:pPr>
              <w:pBdr>
                <w:top w:val="nil"/>
                <w:left w:val="nil"/>
                <w:bottom w:val="nil"/>
                <w:right w:val="nil"/>
                <w:between w:val="nil"/>
              </w:pBdr>
              <w:spacing w:before="40" w:after="40"/>
              <w:jc w:val="left"/>
              <w:rPr>
                <w:rFonts w:eastAsia="Arial" w:cs="Arial"/>
                <w:b/>
                <w:sz w:val="24"/>
                <w:szCs w:val="24"/>
              </w:rPr>
            </w:pPr>
          </w:p>
          <w:p w:rsidR="00E167A8" w:rsidRPr="009D211D" w:rsidRDefault="00E167A8" w:rsidP="009D211D">
            <w:pPr>
              <w:pBdr>
                <w:top w:val="nil"/>
                <w:left w:val="nil"/>
                <w:bottom w:val="nil"/>
                <w:right w:val="nil"/>
                <w:between w:val="nil"/>
              </w:pBdr>
              <w:spacing w:before="40" w:after="40"/>
              <w:jc w:val="left"/>
              <w:rPr>
                <w:rFonts w:eastAsia="Arial" w:cs="Arial"/>
                <w:b/>
                <w:sz w:val="24"/>
                <w:szCs w:val="24"/>
              </w:rPr>
            </w:pPr>
            <w:r>
              <w:rPr>
                <w:rFonts w:eastAsia="Arial" w:cs="Arial"/>
                <w:b/>
                <w:sz w:val="24"/>
                <w:szCs w:val="24"/>
              </w:rPr>
              <w:t>28 January 2024</w:t>
            </w:r>
          </w:p>
        </w:tc>
      </w:tr>
    </w:tbl>
    <w:p w:rsidR="009D09C7" w:rsidRPr="009D211D" w:rsidRDefault="009D09C7" w:rsidP="009D211D">
      <w:pPr>
        <w:jc w:val="left"/>
        <w:rPr>
          <w:rFonts w:cs="Arial"/>
          <w:spacing w:val="0"/>
          <w:sz w:val="24"/>
          <w:szCs w:val="24"/>
        </w:rPr>
      </w:pPr>
    </w:p>
    <w:p w:rsidR="00B6332D" w:rsidRPr="009D211D" w:rsidRDefault="00B6332D" w:rsidP="009D211D">
      <w:pPr>
        <w:jc w:val="left"/>
        <w:rPr>
          <w:rFonts w:cs="Arial"/>
          <w:spacing w:val="0"/>
          <w:sz w:val="24"/>
          <w:szCs w:val="24"/>
        </w:rPr>
      </w:pPr>
    </w:p>
    <w:p w:rsidR="003C375C" w:rsidRPr="009D211D" w:rsidRDefault="003C375C" w:rsidP="009D211D">
      <w:pPr>
        <w:jc w:val="left"/>
        <w:rPr>
          <w:rFonts w:cs="Arial"/>
          <w:noProof/>
          <w:spacing w:val="0"/>
          <w:sz w:val="24"/>
          <w:szCs w:val="24"/>
        </w:rPr>
      </w:pPr>
    </w:p>
    <w:p w:rsidR="00142CA1" w:rsidRPr="009D211D" w:rsidRDefault="00142CA1" w:rsidP="009D211D">
      <w:pPr>
        <w:jc w:val="left"/>
        <w:rPr>
          <w:rFonts w:cs="Arial"/>
          <w:spacing w:val="0"/>
          <w:sz w:val="24"/>
          <w:szCs w:val="24"/>
        </w:rPr>
      </w:pPr>
      <w:bookmarkStart w:id="3" w:name="_Toc177183179"/>
    </w:p>
    <w:p w:rsidR="00815FF6" w:rsidRPr="009D211D" w:rsidRDefault="00815FF6" w:rsidP="009D211D">
      <w:pPr>
        <w:jc w:val="left"/>
        <w:rPr>
          <w:rFonts w:cs="Arial"/>
          <w:spacing w:val="0"/>
          <w:sz w:val="24"/>
          <w:szCs w:val="24"/>
        </w:rPr>
      </w:pPr>
    </w:p>
    <w:p w:rsidR="00815FF6" w:rsidRPr="009D211D" w:rsidRDefault="00815FF6" w:rsidP="009D211D">
      <w:pPr>
        <w:jc w:val="left"/>
        <w:rPr>
          <w:rFonts w:cs="Arial"/>
          <w:spacing w:val="0"/>
          <w:sz w:val="24"/>
          <w:szCs w:val="24"/>
        </w:rPr>
      </w:pPr>
    </w:p>
    <w:p w:rsidR="00815FF6" w:rsidRPr="009D211D" w:rsidRDefault="00815FF6" w:rsidP="009D211D">
      <w:pPr>
        <w:jc w:val="left"/>
        <w:rPr>
          <w:rFonts w:cs="Arial"/>
          <w:spacing w:val="0"/>
          <w:sz w:val="24"/>
          <w:szCs w:val="24"/>
        </w:rPr>
      </w:pPr>
    </w:p>
    <w:p w:rsidR="00CA3893" w:rsidRPr="009D211D" w:rsidRDefault="00CA3893" w:rsidP="009D211D">
      <w:pPr>
        <w:jc w:val="left"/>
        <w:rPr>
          <w:rFonts w:cs="Arial"/>
          <w:spacing w:val="0"/>
          <w:sz w:val="24"/>
          <w:szCs w:val="24"/>
        </w:rPr>
      </w:pPr>
    </w:p>
    <w:p w:rsidR="00CA3893" w:rsidRPr="009D211D" w:rsidRDefault="00CA3893" w:rsidP="009D211D">
      <w:pPr>
        <w:jc w:val="left"/>
        <w:rPr>
          <w:rFonts w:cs="Arial"/>
          <w:spacing w:val="0"/>
          <w:sz w:val="24"/>
          <w:szCs w:val="24"/>
        </w:rPr>
      </w:pPr>
    </w:p>
    <w:bookmarkEnd w:id="3"/>
    <w:p w:rsidR="00370454" w:rsidRPr="009D211D" w:rsidRDefault="00370454" w:rsidP="009D211D">
      <w:pPr>
        <w:jc w:val="left"/>
        <w:rPr>
          <w:rFonts w:cs="Arial"/>
          <w:b/>
          <w:spacing w:val="0"/>
          <w:sz w:val="24"/>
          <w:szCs w:val="24"/>
        </w:rPr>
      </w:pPr>
    </w:p>
    <w:p w:rsidR="00B26EB1" w:rsidRPr="009D211D" w:rsidRDefault="00B26EB1" w:rsidP="009D211D">
      <w:pPr>
        <w:jc w:val="left"/>
        <w:rPr>
          <w:rFonts w:cs="Arial"/>
          <w:b/>
          <w:spacing w:val="0"/>
          <w:sz w:val="24"/>
          <w:szCs w:val="24"/>
        </w:rPr>
      </w:pPr>
    </w:p>
    <w:p w:rsidR="00BD0584" w:rsidRPr="009D211D" w:rsidRDefault="00BD0584" w:rsidP="009D211D">
      <w:pPr>
        <w:jc w:val="left"/>
        <w:rPr>
          <w:rFonts w:cs="Arial"/>
          <w:b/>
          <w:spacing w:val="0"/>
          <w:sz w:val="24"/>
          <w:szCs w:val="24"/>
        </w:rPr>
      </w:pPr>
    </w:p>
    <w:p w:rsidR="00BD0584" w:rsidRPr="009D211D" w:rsidRDefault="00BD0584" w:rsidP="009D211D">
      <w:pPr>
        <w:jc w:val="left"/>
        <w:rPr>
          <w:rFonts w:cs="Arial"/>
          <w:b/>
          <w:spacing w:val="0"/>
          <w:sz w:val="24"/>
          <w:szCs w:val="24"/>
        </w:rPr>
      </w:pPr>
    </w:p>
    <w:p w:rsidR="00BD0584" w:rsidRPr="009D211D" w:rsidRDefault="00BD0584" w:rsidP="009D211D">
      <w:pPr>
        <w:jc w:val="left"/>
        <w:rPr>
          <w:rFonts w:cs="Arial"/>
          <w:b/>
          <w:spacing w:val="0"/>
          <w:sz w:val="24"/>
          <w:szCs w:val="24"/>
        </w:rPr>
      </w:pPr>
    </w:p>
    <w:p w:rsidR="006508BA" w:rsidRPr="009D211D" w:rsidRDefault="006508BA" w:rsidP="009D211D">
      <w:pPr>
        <w:jc w:val="left"/>
        <w:rPr>
          <w:rFonts w:cs="Arial"/>
          <w:b/>
          <w:spacing w:val="0"/>
          <w:sz w:val="24"/>
          <w:szCs w:val="24"/>
        </w:rPr>
      </w:pPr>
    </w:p>
    <w:p w:rsidR="006508BA" w:rsidRPr="009D211D" w:rsidRDefault="006508BA" w:rsidP="009D211D">
      <w:pPr>
        <w:jc w:val="left"/>
        <w:rPr>
          <w:rFonts w:cs="Arial"/>
          <w:b/>
          <w:spacing w:val="0"/>
          <w:sz w:val="24"/>
          <w:szCs w:val="24"/>
        </w:rPr>
      </w:pPr>
    </w:p>
    <w:p w:rsidR="006508BA" w:rsidRPr="009D211D" w:rsidRDefault="006508BA" w:rsidP="009D211D">
      <w:pPr>
        <w:jc w:val="left"/>
        <w:rPr>
          <w:rFonts w:cs="Arial"/>
          <w:b/>
          <w:spacing w:val="0"/>
          <w:sz w:val="24"/>
          <w:szCs w:val="24"/>
        </w:rPr>
      </w:pPr>
    </w:p>
    <w:p w:rsidR="006508BA" w:rsidRPr="009D211D" w:rsidRDefault="006508BA" w:rsidP="009D211D">
      <w:pPr>
        <w:jc w:val="left"/>
        <w:rPr>
          <w:rFonts w:cs="Arial"/>
          <w:b/>
          <w:spacing w:val="0"/>
          <w:sz w:val="24"/>
          <w:szCs w:val="24"/>
        </w:rPr>
      </w:pPr>
    </w:p>
    <w:p w:rsidR="006508BA" w:rsidRPr="009D211D" w:rsidRDefault="006508BA" w:rsidP="009D211D">
      <w:pPr>
        <w:jc w:val="left"/>
        <w:rPr>
          <w:rFonts w:cs="Arial"/>
          <w:b/>
          <w:spacing w:val="0"/>
          <w:sz w:val="24"/>
          <w:szCs w:val="24"/>
        </w:rPr>
      </w:pPr>
    </w:p>
    <w:p w:rsidR="006508BA" w:rsidRPr="009D211D" w:rsidRDefault="006508BA" w:rsidP="009D211D">
      <w:pPr>
        <w:jc w:val="left"/>
        <w:rPr>
          <w:rFonts w:cs="Arial"/>
          <w:b/>
          <w:spacing w:val="0"/>
          <w:sz w:val="24"/>
          <w:szCs w:val="24"/>
        </w:rPr>
      </w:pPr>
    </w:p>
    <w:p w:rsidR="006508BA" w:rsidRPr="009D211D" w:rsidRDefault="006508BA" w:rsidP="009D211D">
      <w:pPr>
        <w:jc w:val="left"/>
        <w:rPr>
          <w:rFonts w:cs="Arial"/>
          <w:b/>
          <w:spacing w:val="0"/>
          <w:sz w:val="24"/>
          <w:szCs w:val="24"/>
        </w:rPr>
      </w:pPr>
    </w:p>
    <w:p w:rsidR="006508BA" w:rsidRPr="009D211D" w:rsidRDefault="006508BA" w:rsidP="009D211D">
      <w:pPr>
        <w:jc w:val="left"/>
        <w:rPr>
          <w:rFonts w:cs="Arial"/>
          <w:b/>
          <w:spacing w:val="0"/>
          <w:sz w:val="24"/>
          <w:szCs w:val="24"/>
        </w:rPr>
      </w:pPr>
    </w:p>
    <w:p w:rsidR="006508BA" w:rsidRPr="009D211D" w:rsidRDefault="006508BA" w:rsidP="009D211D">
      <w:pPr>
        <w:jc w:val="left"/>
        <w:rPr>
          <w:rFonts w:cs="Arial"/>
          <w:b/>
          <w:spacing w:val="0"/>
          <w:sz w:val="24"/>
          <w:szCs w:val="24"/>
        </w:rPr>
      </w:pPr>
    </w:p>
    <w:p w:rsidR="0034772C" w:rsidRPr="009D211D" w:rsidRDefault="0034772C" w:rsidP="009D211D">
      <w:pPr>
        <w:jc w:val="left"/>
        <w:rPr>
          <w:rFonts w:cs="Arial"/>
          <w:b/>
          <w:spacing w:val="0"/>
          <w:sz w:val="24"/>
          <w:szCs w:val="24"/>
        </w:rPr>
      </w:pPr>
    </w:p>
    <w:p w:rsidR="003C375C" w:rsidRPr="009D211D" w:rsidRDefault="003C375C" w:rsidP="009D211D">
      <w:pPr>
        <w:jc w:val="left"/>
        <w:rPr>
          <w:rStyle w:val="IntenseReference"/>
          <w:sz w:val="24"/>
          <w:szCs w:val="24"/>
        </w:rPr>
      </w:pPr>
      <w:r w:rsidRPr="009D211D">
        <w:rPr>
          <w:rStyle w:val="IntenseReference"/>
          <w:sz w:val="24"/>
          <w:szCs w:val="24"/>
        </w:rPr>
        <w:t>CONTENTS</w:t>
      </w:r>
    </w:p>
    <w:tbl>
      <w:tblPr>
        <w:tblpPr w:leftFromText="180" w:rightFromText="180" w:vertAnchor="text" w:horzAnchor="margin" w:tblpY="103"/>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655"/>
        <w:gridCol w:w="985"/>
      </w:tblGrid>
      <w:tr w:rsidR="00815FF6" w:rsidRPr="009D211D" w:rsidTr="002B647B">
        <w:tc>
          <w:tcPr>
            <w:tcW w:w="1526" w:type="dxa"/>
            <w:shd w:val="clear" w:color="auto" w:fill="auto"/>
          </w:tcPr>
          <w:p w:rsidR="00815FF6" w:rsidRPr="009D211D" w:rsidRDefault="00815FF6" w:rsidP="009D211D">
            <w:pPr>
              <w:spacing w:after="120"/>
              <w:jc w:val="left"/>
              <w:rPr>
                <w:rFonts w:cs="Arial"/>
                <w:spacing w:val="0"/>
                <w:sz w:val="24"/>
                <w:szCs w:val="24"/>
              </w:rPr>
            </w:pPr>
            <w:bookmarkStart w:id="4" w:name="_Hlk145927787"/>
          </w:p>
        </w:tc>
        <w:tc>
          <w:tcPr>
            <w:tcW w:w="7655" w:type="dxa"/>
            <w:shd w:val="clear" w:color="auto" w:fill="auto"/>
          </w:tcPr>
          <w:p w:rsidR="00815FF6" w:rsidRPr="009D211D" w:rsidRDefault="00815FF6" w:rsidP="009D211D">
            <w:pPr>
              <w:tabs>
                <w:tab w:val="left" w:pos="720"/>
              </w:tabs>
              <w:spacing w:after="120"/>
              <w:jc w:val="left"/>
              <w:rPr>
                <w:rFonts w:cs="Arial"/>
                <w:spacing w:val="0"/>
                <w:sz w:val="24"/>
                <w:szCs w:val="24"/>
              </w:rPr>
            </w:pPr>
          </w:p>
        </w:tc>
        <w:tc>
          <w:tcPr>
            <w:tcW w:w="985" w:type="dxa"/>
            <w:shd w:val="clear" w:color="auto" w:fill="auto"/>
          </w:tcPr>
          <w:p w:rsidR="00815FF6" w:rsidRPr="009D211D" w:rsidRDefault="00815FF6" w:rsidP="009D211D">
            <w:pPr>
              <w:spacing w:after="120"/>
              <w:jc w:val="left"/>
              <w:rPr>
                <w:rFonts w:cs="Arial"/>
                <w:b/>
                <w:spacing w:val="0"/>
                <w:sz w:val="24"/>
                <w:szCs w:val="24"/>
              </w:rPr>
            </w:pPr>
            <w:r w:rsidRPr="009D211D">
              <w:rPr>
                <w:rFonts w:cs="Arial"/>
                <w:b/>
                <w:spacing w:val="0"/>
                <w:sz w:val="24"/>
                <w:szCs w:val="24"/>
              </w:rPr>
              <w:t>PAGE</w:t>
            </w:r>
          </w:p>
        </w:tc>
      </w:tr>
      <w:tr w:rsidR="00792BEA" w:rsidRPr="009D211D" w:rsidTr="002B647B">
        <w:tc>
          <w:tcPr>
            <w:tcW w:w="1526" w:type="dxa"/>
            <w:shd w:val="clear" w:color="auto" w:fill="auto"/>
          </w:tcPr>
          <w:p w:rsidR="00792BEA" w:rsidRPr="009D211D" w:rsidRDefault="00792BEA" w:rsidP="00792BEA">
            <w:pPr>
              <w:spacing w:after="120"/>
              <w:jc w:val="left"/>
              <w:rPr>
                <w:rFonts w:cs="Arial"/>
                <w:sz w:val="24"/>
                <w:szCs w:val="24"/>
              </w:rPr>
            </w:pPr>
            <w:bookmarkStart w:id="5" w:name="_Hlk143687590"/>
            <w:r w:rsidRPr="009D211D">
              <w:rPr>
                <w:rFonts w:cs="Arial"/>
                <w:sz w:val="24"/>
                <w:szCs w:val="24"/>
              </w:rPr>
              <w:t>1.0</w:t>
            </w:r>
          </w:p>
        </w:tc>
        <w:tc>
          <w:tcPr>
            <w:tcW w:w="7655" w:type="dxa"/>
            <w:shd w:val="clear" w:color="auto" w:fill="auto"/>
          </w:tcPr>
          <w:p w:rsidR="00792BEA" w:rsidRPr="009D211D" w:rsidRDefault="00792BEA" w:rsidP="00792BEA">
            <w:pPr>
              <w:keepNext/>
              <w:jc w:val="left"/>
              <w:outlineLvl w:val="0"/>
              <w:rPr>
                <w:rFonts w:cs="Arial"/>
                <w:sz w:val="24"/>
                <w:szCs w:val="24"/>
              </w:rPr>
            </w:pPr>
            <w:r w:rsidRPr="009D211D">
              <w:rPr>
                <w:bCs/>
                <w:sz w:val="24"/>
                <w:szCs w:val="24"/>
              </w:rPr>
              <w:t>Purpose, scope, aims and objectives</w:t>
            </w:r>
          </w:p>
        </w:tc>
        <w:tc>
          <w:tcPr>
            <w:tcW w:w="985" w:type="dxa"/>
            <w:shd w:val="clear" w:color="auto" w:fill="auto"/>
          </w:tcPr>
          <w:p w:rsidR="00792BEA" w:rsidRPr="009D211D" w:rsidRDefault="00792BEA" w:rsidP="00792BEA">
            <w:pPr>
              <w:spacing w:after="120"/>
              <w:jc w:val="left"/>
              <w:rPr>
                <w:rFonts w:cs="Arial"/>
                <w:sz w:val="24"/>
                <w:szCs w:val="24"/>
              </w:rPr>
            </w:pPr>
            <w:r w:rsidRPr="009D211D">
              <w:rPr>
                <w:rFonts w:cs="Arial"/>
                <w:sz w:val="24"/>
                <w:szCs w:val="24"/>
              </w:rPr>
              <w:t>3</w:t>
            </w:r>
          </w:p>
        </w:tc>
      </w:tr>
      <w:tr w:rsidR="00792BEA" w:rsidRPr="009D211D" w:rsidTr="002B647B">
        <w:tc>
          <w:tcPr>
            <w:tcW w:w="1526" w:type="dxa"/>
            <w:shd w:val="clear" w:color="auto" w:fill="auto"/>
          </w:tcPr>
          <w:p w:rsidR="00792BEA" w:rsidRPr="009D211D" w:rsidRDefault="00792BEA" w:rsidP="00792BEA">
            <w:pPr>
              <w:spacing w:after="120"/>
              <w:jc w:val="left"/>
              <w:rPr>
                <w:rFonts w:cs="Arial"/>
                <w:sz w:val="24"/>
                <w:szCs w:val="24"/>
              </w:rPr>
            </w:pPr>
            <w:r w:rsidRPr="009D211D">
              <w:rPr>
                <w:rFonts w:cs="Arial"/>
                <w:sz w:val="24"/>
                <w:szCs w:val="24"/>
              </w:rPr>
              <w:t>2.0</w:t>
            </w:r>
          </w:p>
        </w:tc>
        <w:tc>
          <w:tcPr>
            <w:tcW w:w="7655" w:type="dxa"/>
            <w:shd w:val="clear" w:color="auto" w:fill="auto"/>
          </w:tcPr>
          <w:p w:rsidR="00792BEA" w:rsidRPr="009D211D" w:rsidRDefault="00792BEA" w:rsidP="00792BEA">
            <w:pPr>
              <w:keepNext/>
              <w:jc w:val="left"/>
              <w:outlineLvl w:val="0"/>
              <w:rPr>
                <w:rFonts w:cs="Arial"/>
                <w:bCs/>
                <w:sz w:val="24"/>
                <w:szCs w:val="24"/>
              </w:rPr>
            </w:pPr>
            <w:r w:rsidRPr="009D211D">
              <w:rPr>
                <w:bCs/>
                <w:sz w:val="24"/>
                <w:szCs w:val="24"/>
              </w:rPr>
              <w:t>Resource analysis</w:t>
            </w:r>
          </w:p>
        </w:tc>
        <w:tc>
          <w:tcPr>
            <w:tcW w:w="985" w:type="dxa"/>
            <w:shd w:val="clear" w:color="auto" w:fill="auto"/>
          </w:tcPr>
          <w:p w:rsidR="00792BEA" w:rsidRPr="009D211D" w:rsidRDefault="00792BEA" w:rsidP="00792BEA">
            <w:pPr>
              <w:spacing w:after="120"/>
              <w:jc w:val="left"/>
              <w:rPr>
                <w:rFonts w:cs="Arial"/>
                <w:sz w:val="24"/>
                <w:szCs w:val="24"/>
              </w:rPr>
            </w:pPr>
            <w:r w:rsidRPr="009D211D">
              <w:rPr>
                <w:rFonts w:cs="Arial"/>
                <w:sz w:val="24"/>
                <w:szCs w:val="24"/>
              </w:rPr>
              <w:t>4</w:t>
            </w:r>
          </w:p>
        </w:tc>
      </w:tr>
      <w:tr w:rsidR="00792BEA" w:rsidRPr="009D211D" w:rsidTr="002B647B">
        <w:trPr>
          <w:trHeight w:val="79"/>
        </w:trPr>
        <w:tc>
          <w:tcPr>
            <w:tcW w:w="1526" w:type="dxa"/>
            <w:shd w:val="clear" w:color="auto" w:fill="auto"/>
          </w:tcPr>
          <w:p w:rsidR="00792BEA" w:rsidRPr="009D211D" w:rsidRDefault="00792BEA" w:rsidP="00792BEA">
            <w:pPr>
              <w:spacing w:after="120"/>
              <w:jc w:val="left"/>
              <w:rPr>
                <w:rFonts w:cs="Arial"/>
                <w:sz w:val="24"/>
                <w:szCs w:val="24"/>
              </w:rPr>
            </w:pPr>
            <w:r w:rsidRPr="009D211D">
              <w:rPr>
                <w:rFonts w:cs="Arial"/>
                <w:sz w:val="24"/>
                <w:szCs w:val="24"/>
              </w:rPr>
              <w:t>3.0</w:t>
            </w:r>
          </w:p>
        </w:tc>
        <w:tc>
          <w:tcPr>
            <w:tcW w:w="7655" w:type="dxa"/>
            <w:shd w:val="clear" w:color="auto" w:fill="auto"/>
          </w:tcPr>
          <w:p w:rsidR="00792BEA" w:rsidRPr="009D211D" w:rsidRDefault="00792BEA" w:rsidP="00792BEA">
            <w:pPr>
              <w:tabs>
                <w:tab w:val="left" w:pos="720"/>
              </w:tabs>
              <w:spacing w:after="120"/>
              <w:jc w:val="left"/>
              <w:rPr>
                <w:rFonts w:cs="Arial"/>
                <w:sz w:val="24"/>
                <w:szCs w:val="24"/>
              </w:rPr>
            </w:pPr>
            <w:r w:rsidRPr="009D211D">
              <w:rPr>
                <w:rFonts w:cs="Arial"/>
                <w:sz w:val="24"/>
                <w:szCs w:val="24"/>
              </w:rPr>
              <w:t>Our patient safety incident response plan: national requirements</w:t>
            </w:r>
          </w:p>
        </w:tc>
        <w:tc>
          <w:tcPr>
            <w:tcW w:w="985" w:type="dxa"/>
            <w:shd w:val="clear" w:color="auto" w:fill="auto"/>
          </w:tcPr>
          <w:p w:rsidR="00792BEA" w:rsidRPr="009D211D" w:rsidRDefault="00792BEA" w:rsidP="00792BEA">
            <w:pPr>
              <w:spacing w:after="120"/>
              <w:jc w:val="left"/>
              <w:rPr>
                <w:rFonts w:cs="Arial"/>
                <w:sz w:val="24"/>
                <w:szCs w:val="24"/>
              </w:rPr>
            </w:pPr>
            <w:r>
              <w:rPr>
                <w:rFonts w:cs="Arial"/>
                <w:sz w:val="24"/>
                <w:szCs w:val="24"/>
              </w:rPr>
              <w:t>7</w:t>
            </w:r>
          </w:p>
        </w:tc>
      </w:tr>
      <w:tr w:rsidR="00792BEA" w:rsidRPr="009D211D" w:rsidTr="002B647B">
        <w:tc>
          <w:tcPr>
            <w:tcW w:w="1526" w:type="dxa"/>
            <w:shd w:val="clear" w:color="auto" w:fill="auto"/>
          </w:tcPr>
          <w:p w:rsidR="00792BEA" w:rsidRPr="009D211D" w:rsidRDefault="00792BEA" w:rsidP="00792BEA">
            <w:pPr>
              <w:spacing w:after="120"/>
              <w:jc w:val="left"/>
              <w:rPr>
                <w:rFonts w:cs="Arial"/>
                <w:sz w:val="24"/>
                <w:szCs w:val="24"/>
              </w:rPr>
            </w:pPr>
            <w:r w:rsidRPr="009D211D">
              <w:rPr>
                <w:rFonts w:cs="Arial"/>
                <w:sz w:val="24"/>
                <w:szCs w:val="24"/>
              </w:rPr>
              <w:t>4.0</w:t>
            </w:r>
          </w:p>
        </w:tc>
        <w:tc>
          <w:tcPr>
            <w:tcW w:w="7655" w:type="dxa"/>
            <w:shd w:val="clear" w:color="auto" w:fill="auto"/>
          </w:tcPr>
          <w:p w:rsidR="00792BEA" w:rsidRPr="009D211D" w:rsidRDefault="00792BEA" w:rsidP="00792BEA">
            <w:pPr>
              <w:tabs>
                <w:tab w:val="left" w:pos="720"/>
              </w:tabs>
              <w:spacing w:after="120"/>
              <w:jc w:val="left"/>
              <w:rPr>
                <w:rFonts w:cs="Arial"/>
                <w:sz w:val="24"/>
                <w:szCs w:val="24"/>
              </w:rPr>
            </w:pPr>
            <w:r w:rsidRPr="009D211D">
              <w:rPr>
                <w:rFonts w:cs="Arial"/>
                <w:sz w:val="24"/>
                <w:szCs w:val="24"/>
              </w:rPr>
              <w:t>Recommendations and learning</w:t>
            </w:r>
          </w:p>
        </w:tc>
        <w:tc>
          <w:tcPr>
            <w:tcW w:w="985" w:type="dxa"/>
            <w:shd w:val="clear" w:color="auto" w:fill="auto"/>
          </w:tcPr>
          <w:p w:rsidR="00792BEA" w:rsidRPr="009D211D" w:rsidRDefault="00792BEA" w:rsidP="00792BEA">
            <w:pPr>
              <w:spacing w:after="120"/>
              <w:jc w:val="left"/>
              <w:rPr>
                <w:rFonts w:cs="Arial"/>
                <w:sz w:val="24"/>
                <w:szCs w:val="24"/>
              </w:rPr>
            </w:pPr>
            <w:r>
              <w:rPr>
                <w:rFonts w:cs="Arial"/>
                <w:sz w:val="24"/>
                <w:szCs w:val="24"/>
              </w:rPr>
              <w:t>9</w:t>
            </w:r>
          </w:p>
        </w:tc>
      </w:tr>
      <w:tr w:rsidR="00792BEA" w:rsidRPr="009D211D" w:rsidTr="002B647B">
        <w:tc>
          <w:tcPr>
            <w:tcW w:w="1526" w:type="dxa"/>
            <w:shd w:val="clear" w:color="auto" w:fill="auto"/>
          </w:tcPr>
          <w:p w:rsidR="00792BEA" w:rsidRPr="009D211D" w:rsidRDefault="00792BEA" w:rsidP="00792BEA">
            <w:pPr>
              <w:spacing w:after="120"/>
              <w:jc w:val="left"/>
              <w:rPr>
                <w:rFonts w:cs="Arial"/>
                <w:sz w:val="24"/>
                <w:szCs w:val="24"/>
              </w:rPr>
            </w:pPr>
            <w:r w:rsidRPr="009D211D">
              <w:rPr>
                <w:rFonts w:cs="Arial"/>
                <w:sz w:val="24"/>
                <w:szCs w:val="24"/>
              </w:rPr>
              <w:t>5.0</w:t>
            </w:r>
          </w:p>
        </w:tc>
        <w:tc>
          <w:tcPr>
            <w:tcW w:w="7655" w:type="dxa"/>
            <w:shd w:val="clear" w:color="auto" w:fill="auto"/>
          </w:tcPr>
          <w:p w:rsidR="00792BEA" w:rsidRPr="009D211D" w:rsidRDefault="00792BEA" w:rsidP="00792BEA">
            <w:pPr>
              <w:tabs>
                <w:tab w:val="left" w:pos="720"/>
              </w:tabs>
              <w:spacing w:after="120"/>
              <w:jc w:val="left"/>
              <w:rPr>
                <w:rFonts w:cs="Arial"/>
                <w:sz w:val="24"/>
                <w:szCs w:val="24"/>
              </w:rPr>
            </w:pPr>
            <w:r w:rsidRPr="009D211D">
              <w:rPr>
                <w:rFonts w:cs="Arial"/>
                <w:sz w:val="24"/>
                <w:szCs w:val="24"/>
              </w:rPr>
              <w:t>Roles and responsibilities</w:t>
            </w:r>
          </w:p>
        </w:tc>
        <w:tc>
          <w:tcPr>
            <w:tcW w:w="985" w:type="dxa"/>
            <w:shd w:val="clear" w:color="auto" w:fill="auto"/>
          </w:tcPr>
          <w:p w:rsidR="00792BEA" w:rsidRPr="009D211D" w:rsidRDefault="00792BEA" w:rsidP="00792BEA">
            <w:pPr>
              <w:spacing w:after="120"/>
              <w:jc w:val="left"/>
              <w:rPr>
                <w:rFonts w:cs="Arial"/>
                <w:sz w:val="24"/>
                <w:szCs w:val="24"/>
              </w:rPr>
            </w:pPr>
            <w:r>
              <w:rPr>
                <w:rFonts w:cs="Arial"/>
                <w:sz w:val="24"/>
                <w:szCs w:val="24"/>
              </w:rPr>
              <w:t>10</w:t>
            </w:r>
          </w:p>
        </w:tc>
      </w:tr>
      <w:tr w:rsidR="00792BEA" w:rsidRPr="009D211D" w:rsidTr="002B647B">
        <w:tc>
          <w:tcPr>
            <w:tcW w:w="1526" w:type="dxa"/>
            <w:shd w:val="clear" w:color="auto" w:fill="auto"/>
          </w:tcPr>
          <w:p w:rsidR="00792BEA" w:rsidRPr="009D211D" w:rsidRDefault="00792BEA" w:rsidP="00792BEA">
            <w:pPr>
              <w:spacing w:after="120"/>
              <w:jc w:val="left"/>
              <w:rPr>
                <w:rFonts w:cs="Arial"/>
                <w:sz w:val="24"/>
                <w:szCs w:val="24"/>
              </w:rPr>
            </w:pPr>
            <w:r w:rsidRPr="009D211D">
              <w:rPr>
                <w:rFonts w:cs="Arial"/>
                <w:sz w:val="24"/>
                <w:szCs w:val="24"/>
              </w:rPr>
              <w:t>6.0</w:t>
            </w:r>
          </w:p>
        </w:tc>
        <w:tc>
          <w:tcPr>
            <w:tcW w:w="7655" w:type="dxa"/>
            <w:shd w:val="clear" w:color="auto" w:fill="auto"/>
          </w:tcPr>
          <w:p w:rsidR="00792BEA" w:rsidRPr="009D211D" w:rsidRDefault="00792BEA" w:rsidP="00792BEA">
            <w:pPr>
              <w:tabs>
                <w:tab w:val="left" w:pos="720"/>
              </w:tabs>
              <w:spacing w:after="120"/>
              <w:jc w:val="left"/>
              <w:rPr>
                <w:rFonts w:cs="Arial"/>
                <w:bCs/>
                <w:caps/>
                <w:sz w:val="24"/>
                <w:szCs w:val="24"/>
              </w:rPr>
            </w:pPr>
            <w:r w:rsidRPr="009D211D">
              <w:rPr>
                <w:rFonts w:cs="Arial"/>
                <w:sz w:val="24"/>
                <w:szCs w:val="24"/>
              </w:rPr>
              <w:t>Patient Safety Incident reporting arrangements</w:t>
            </w:r>
          </w:p>
        </w:tc>
        <w:tc>
          <w:tcPr>
            <w:tcW w:w="985" w:type="dxa"/>
            <w:shd w:val="clear" w:color="auto" w:fill="auto"/>
          </w:tcPr>
          <w:p w:rsidR="00792BEA" w:rsidRPr="009D211D" w:rsidRDefault="00792BEA" w:rsidP="00792BEA">
            <w:pPr>
              <w:spacing w:after="120"/>
              <w:jc w:val="left"/>
              <w:rPr>
                <w:rFonts w:cs="Arial"/>
                <w:sz w:val="24"/>
                <w:szCs w:val="24"/>
              </w:rPr>
            </w:pPr>
            <w:r w:rsidRPr="009D211D">
              <w:rPr>
                <w:rFonts w:cs="Arial"/>
                <w:sz w:val="24"/>
                <w:szCs w:val="24"/>
              </w:rPr>
              <w:t>1</w:t>
            </w:r>
            <w:r>
              <w:rPr>
                <w:rFonts w:cs="Arial"/>
                <w:sz w:val="24"/>
                <w:szCs w:val="24"/>
              </w:rPr>
              <w:t>2</w:t>
            </w:r>
          </w:p>
        </w:tc>
      </w:tr>
      <w:tr w:rsidR="00792BEA" w:rsidRPr="009D211D" w:rsidTr="002B647B">
        <w:tc>
          <w:tcPr>
            <w:tcW w:w="1526" w:type="dxa"/>
            <w:shd w:val="clear" w:color="auto" w:fill="auto"/>
          </w:tcPr>
          <w:p w:rsidR="00792BEA" w:rsidRPr="009D211D" w:rsidRDefault="00792BEA" w:rsidP="00792BEA">
            <w:pPr>
              <w:spacing w:after="120"/>
              <w:jc w:val="left"/>
              <w:rPr>
                <w:rFonts w:cs="Arial"/>
                <w:sz w:val="24"/>
                <w:szCs w:val="24"/>
              </w:rPr>
            </w:pPr>
            <w:r w:rsidRPr="009D211D">
              <w:rPr>
                <w:rFonts w:cs="Arial"/>
                <w:sz w:val="24"/>
                <w:szCs w:val="24"/>
              </w:rPr>
              <w:t>7.0</w:t>
            </w:r>
          </w:p>
        </w:tc>
        <w:tc>
          <w:tcPr>
            <w:tcW w:w="7655" w:type="dxa"/>
            <w:shd w:val="clear" w:color="auto" w:fill="auto"/>
          </w:tcPr>
          <w:p w:rsidR="00792BEA" w:rsidRPr="009D211D" w:rsidRDefault="00792BEA" w:rsidP="00792BEA">
            <w:pPr>
              <w:tabs>
                <w:tab w:val="left" w:pos="720"/>
              </w:tabs>
              <w:spacing w:after="120"/>
              <w:jc w:val="left"/>
              <w:rPr>
                <w:rFonts w:cs="Arial"/>
                <w:sz w:val="24"/>
                <w:szCs w:val="24"/>
              </w:rPr>
            </w:pPr>
            <w:r w:rsidRPr="009D211D">
              <w:rPr>
                <w:rFonts w:cs="Arial"/>
                <w:sz w:val="24"/>
                <w:szCs w:val="24"/>
              </w:rPr>
              <w:t>Support patients, families and carers affected by PSIs</w:t>
            </w:r>
          </w:p>
        </w:tc>
        <w:tc>
          <w:tcPr>
            <w:tcW w:w="985" w:type="dxa"/>
            <w:shd w:val="clear" w:color="auto" w:fill="auto"/>
          </w:tcPr>
          <w:p w:rsidR="00792BEA" w:rsidRPr="009D211D" w:rsidRDefault="00792BEA" w:rsidP="00792BEA">
            <w:pPr>
              <w:spacing w:after="120"/>
              <w:jc w:val="left"/>
              <w:rPr>
                <w:rFonts w:cs="Arial"/>
                <w:sz w:val="24"/>
                <w:szCs w:val="24"/>
              </w:rPr>
            </w:pPr>
            <w:r w:rsidRPr="009D211D">
              <w:rPr>
                <w:rFonts w:cs="Arial"/>
                <w:sz w:val="24"/>
                <w:szCs w:val="24"/>
              </w:rPr>
              <w:t>1</w:t>
            </w:r>
            <w:r>
              <w:rPr>
                <w:rFonts w:cs="Arial"/>
                <w:sz w:val="24"/>
                <w:szCs w:val="24"/>
              </w:rPr>
              <w:t>2</w:t>
            </w:r>
          </w:p>
        </w:tc>
      </w:tr>
      <w:tr w:rsidR="00792BEA" w:rsidRPr="009D211D" w:rsidTr="002B647B">
        <w:tc>
          <w:tcPr>
            <w:tcW w:w="1526" w:type="dxa"/>
            <w:shd w:val="clear" w:color="auto" w:fill="auto"/>
          </w:tcPr>
          <w:p w:rsidR="00792BEA" w:rsidRPr="009D211D" w:rsidRDefault="00792BEA" w:rsidP="00792BEA">
            <w:pPr>
              <w:spacing w:after="120"/>
              <w:jc w:val="left"/>
              <w:rPr>
                <w:rFonts w:cs="Arial"/>
                <w:sz w:val="24"/>
                <w:szCs w:val="24"/>
              </w:rPr>
            </w:pPr>
            <w:r w:rsidRPr="009D211D">
              <w:rPr>
                <w:rFonts w:cs="Arial"/>
                <w:sz w:val="24"/>
                <w:szCs w:val="24"/>
              </w:rPr>
              <w:t>8.0</w:t>
            </w:r>
          </w:p>
        </w:tc>
        <w:tc>
          <w:tcPr>
            <w:tcW w:w="7655" w:type="dxa"/>
            <w:shd w:val="clear" w:color="auto" w:fill="auto"/>
          </w:tcPr>
          <w:p w:rsidR="00792BEA" w:rsidRPr="009D211D" w:rsidRDefault="00792BEA" w:rsidP="00792BEA">
            <w:pPr>
              <w:tabs>
                <w:tab w:val="left" w:pos="720"/>
              </w:tabs>
              <w:spacing w:after="120"/>
              <w:jc w:val="left"/>
              <w:rPr>
                <w:rFonts w:cs="Arial"/>
                <w:sz w:val="24"/>
                <w:szCs w:val="24"/>
              </w:rPr>
            </w:pPr>
            <w:r w:rsidRPr="009D211D">
              <w:rPr>
                <w:rFonts w:cs="Arial"/>
                <w:sz w:val="24"/>
                <w:szCs w:val="24"/>
              </w:rPr>
              <w:t>Support for staff affected by PSIs</w:t>
            </w:r>
          </w:p>
        </w:tc>
        <w:tc>
          <w:tcPr>
            <w:tcW w:w="985" w:type="dxa"/>
            <w:shd w:val="clear" w:color="auto" w:fill="auto"/>
          </w:tcPr>
          <w:p w:rsidR="00792BEA" w:rsidRPr="009D211D" w:rsidRDefault="00792BEA" w:rsidP="00792BEA">
            <w:pPr>
              <w:spacing w:after="120"/>
              <w:jc w:val="left"/>
              <w:rPr>
                <w:rFonts w:cs="Arial"/>
                <w:sz w:val="24"/>
                <w:szCs w:val="24"/>
              </w:rPr>
            </w:pPr>
            <w:r w:rsidRPr="009D211D">
              <w:rPr>
                <w:rFonts w:cs="Arial"/>
                <w:sz w:val="24"/>
                <w:szCs w:val="24"/>
              </w:rPr>
              <w:t>1</w:t>
            </w:r>
            <w:r>
              <w:rPr>
                <w:rFonts w:cs="Arial"/>
                <w:sz w:val="24"/>
                <w:szCs w:val="24"/>
              </w:rPr>
              <w:t>3</w:t>
            </w:r>
          </w:p>
        </w:tc>
      </w:tr>
      <w:tr w:rsidR="00792BEA" w:rsidRPr="009D211D" w:rsidTr="002B647B">
        <w:tc>
          <w:tcPr>
            <w:tcW w:w="1526" w:type="dxa"/>
            <w:shd w:val="clear" w:color="auto" w:fill="auto"/>
          </w:tcPr>
          <w:p w:rsidR="00792BEA" w:rsidRPr="009D211D" w:rsidRDefault="00792BEA" w:rsidP="00792BEA">
            <w:pPr>
              <w:spacing w:after="120"/>
              <w:jc w:val="left"/>
              <w:rPr>
                <w:rFonts w:cs="Arial"/>
                <w:sz w:val="24"/>
                <w:szCs w:val="24"/>
              </w:rPr>
            </w:pPr>
            <w:r w:rsidRPr="009D211D">
              <w:rPr>
                <w:rFonts w:cs="Arial"/>
                <w:sz w:val="24"/>
                <w:szCs w:val="24"/>
              </w:rPr>
              <w:t>9.0</w:t>
            </w:r>
          </w:p>
        </w:tc>
        <w:tc>
          <w:tcPr>
            <w:tcW w:w="7655" w:type="dxa"/>
            <w:shd w:val="clear" w:color="auto" w:fill="auto"/>
          </w:tcPr>
          <w:p w:rsidR="00792BEA" w:rsidRPr="009D211D" w:rsidRDefault="00792BEA" w:rsidP="00792BEA">
            <w:pPr>
              <w:tabs>
                <w:tab w:val="left" w:pos="720"/>
              </w:tabs>
              <w:spacing w:after="120"/>
              <w:jc w:val="left"/>
              <w:rPr>
                <w:rFonts w:cs="Arial"/>
                <w:sz w:val="24"/>
                <w:szCs w:val="24"/>
              </w:rPr>
            </w:pPr>
            <w:r w:rsidRPr="009D211D">
              <w:rPr>
                <w:rFonts w:cs="Arial"/>
                <w:sz w:val="24"/>
                <w:szCs w:val="24"/>
              </w:rPr>
              <w:t>Monitoring outcomes of PSIIs and Learning Response</w:t>
            </w:r>
          </w:p>
        </w:tc>
        <w:tc>
          <w:tcPr>
            <w:tcW w:w="985" w:type="dxa"/>
            <w:shd w:val="clear" w:color="auto" w:fill="auto"/>
          </w:tcPr>
          <w:p w:rsidR="00792BEA" w:rsidRPr="009D211D" w:rsidRDefault="00792BEA" w:rsidP="00792BEA">
            <w:pPr>
              <w:spacing w:after="120"/>
              <w:jc w:val="left"/>
              <w:rPr>
                <w:rFonts w:cs="Arial"/>
                <w:sz w:val="24"/>
                <w:szCs w:val="24"/>
              </w:rPr>
            </w:pPr>
            <w:r w:rsidRPr="009D211D">
              <w:rPr>
                <w:rFonts w:cs="Arial"/>
                <w:sz w:val="24"/>
                <w:szCs w:val="24"/>
              </w:rPr>
              <w:t>1</w:t>
            </w:r>
            <w:r>
              <w:rPr>
                <w:rFonts w:cs="Arial"/>
                <w:sz w:val="24"/>
                <w:szCs w:val="24"/>
              </w:rPr>
              <w:t>4</w:t>
            </w:r>
          </w:p>
        </w:tc>
      </w:tr>
      <w:tr w:rsidR="00792BEA" w:rsidRPr="009D211D" w:rsidTr="002B647B">
        <w:tc>
          <w:tcPr>
            <w:tcW w:w="1526" w:type="dxa"/>
            <w:shd w:val="clear" w:color="auto" w:fill="auto"/>
          </w:tcPr>
          <w:p w:rsidR="00792BEA" w:rsidRPr="009D211D" w:rsidRDefault="00792BEA" w:rsidP="00792BEA">
            <w:pPr>
              <w:spacing w:after="120"/>
              <w:jc w:val="left"/>
              <w:rPr>
                <w:rFonts w:cs="Arial"/>
                <w:sz w:val="24"/>
                <w:szCs w:val="24"/>
              </w:rPr>
            </w:pPr>
            <w:r w:rsidRPr="009D211D">
              <w:rPr>
                <w:rFonts w:cs="Arial"/>
                <w:sz w:val="24"/>
                <w:szCs w:val="24"/>
              </w:rPr>
              <w:t>10.0</w:t>
            </w:r>
          </w:p>
        </w:tc>
        <w:tc>
          <w:tcPr>
            <w:tcW w:w="7655" w:type="dxa"/>
            <w:shd w:val="clear" w:color="auto" w:fill="auto"/>
          </w:tcPr>
          <w:p w:rsidR="00792BEA" w:rsidRPr="009D211D" w:rsidRDefault="00792BEA" w:rsidP="00792BEA">
            <w:pPr>
              <w:tabs>
                <w:tab w:val="left" w:pos="720"/>
              </w:tabs>
              <w:spacing w:after="120"/>
              <w:jc w:val="left"/>
              <w:rPr>
                <w:rFonts w:cs="Arial"/>
                <w:sz w:val="24"/>
                <w:szCs w:val="24"/>
              </w:rPr>
            </w:pPr>
            <w:r w:rsidRPr="009D211D">
              <w:rPr>
                <w:rFonts w:cs="Arial"/>
                <w:sz w:val="24"/>
                <w:szCs w:val="24"/>
              </w:rPr>
              <w:t xml:space="preserve">Document tracking </w:t>
            </w:r>
          </w:p>
        </w:tc>
        <w:tc>
          <w:tcPr>
            <w:tcW w:w="985" w:type="dxa"/>
            <w:shd w:val="clear" w:color="auto" w:fill="auto"/>
          </w:tcPr>
          <w:p w:rsidR="00792BEA" w:rsidRPr="009D211D" w:rsidRDefault="00792BEA" w:rsidP="00792BEA">
            <w:pPr>
              <w:spacing w:after="120"/>
              <w:jc w:val="left"/>
              <w:rPr>
                <w:rFonts w:cs="Arial"/>
                <w:sz w:val="24"/>
                <w:szCs w:val="24"/>
              </w:rPr>
            </w:pPr>
            <w:r w:rsidRPr="009D211D">
              <w:rPr>
                <w:rFonts w:cs="Arial"/>
                <w:sz w:val="24"/>
                <w:szCs w:val="24"/>
              </w:rPr>
              <w:t>1</w:t>
            </w:r>
            <w:r>
              <w:rPr>
                <w:rFonts w:cs="Arial"/>
                <w:sz w:val="24"/>
                <w:szCs w:val="24"/>
              </w:rPr>
              <w:t>4</w:t>
            </w:r>
          </w:p>
        </w:tc>
      </w:tr>
      <w:tr w:rsidR="00792BEA" w:rsidRPr="009D211D" w:rsidTr="002B647B">
        <w:tc>
          <w:tcPr>
            <w:tcW w:w="1526" w:type="dxa"/>
            <w:shd w:val="clear" w:color="auto" w:fill="auto"/>
          </w:tcPr>
          <w:p w:rsidR="00792BEA" w:rsidRPr="009D211D" w:rsidRDefault="00792BEA" w:rsidP="00792BEA">
            <w:pPr>
              <w:spacing w:after="120"/>
              <w:jc w:val="left"/>
              <w:rPr>
                <w:rFonts w:cs="Arial"/>
                <w:sz w:val="24"/>
                <w:szCs w:val="24"/>
              </w:rPr>
            </w:pPr>
            <w:r w:rsidRPr="009D211D">
              <w:rPr>
                <w:rFonts w:cs="Arial"/>
                <w:sz w:val="24"/>
                <w:szCs w:val="24"/>
              </w:rPr>
              <w:t>Appendix 1</w:t>
            </w:r>
          </w:p>
        </w:tc>
        <w:tc>
          <w:tcPr>
            <w:tcW w:w="7655" w:type="dxa"/>
            <w:shd w:val="clear" w:color="auto" w:fill="auto"/>
          </w:tcPr>
          <w:p w:rsidR="00792BEA" w:rsidRPr="009D211D" w:rsidRDefault="00792BEA" w:rsidP="00792BEA">
            <w:pPr>
              <w:tabs>
                <w:tab w:val="left" w:pos="720"/>
              </w:tabs>
              <w:spacing w:after="120"/>
              <w:jc w:val="left"/>
              <w:rPr>
                <w:rFonts w:cs="Arial"/>
                <w:sz w:val="24"/>
                <w:szCs w:val="24"/>
              </w:rPr>
            </w:pPr>
            <w:r w:rsidRPr="009D211D">
              <w:rPr>
                <w:rFonts w:cs="Arial"/>
                <w:sz w:val="24"/>
                <w:szCs w:val="24"/>
              </w:rPr>
              <w:t>PSIRF Learning Response and Techniques</w:t>
            </w:r>
          </w:p>
        </w:tc>
        <w:tc>
          <w:tcPr>
            <w:tcW w:w="985" w:type="dxa"/>
            <w:shd w:val="clear" w:color="auto" w:fill="auto"/>
          </w:tcPr>
          <w:p w:rsidR="00792BEA" w:rsidRPr="009D211D" w:rsidRDefault="00792BEA" w:rsidP="00792BEA">
            <w:pPr>
              <w:spacing w:after="120"/>
              <w:jc w:val="left"/>
              <w:rPr>
                <w:rFonts w:cs="Arial"/>
                <w:sz w:val="24"/>
                <w:szCs w:val="24"/>
              </w:rPr>
            </w:pPr>
            <w:r w:rsidRPr="009D211D">
              <w:rPr>
                <w:rFonts w:cs="Arial"/>
                <w:sz w:val="24"/>
                <w:szCs w:val="24"/>
              </w:rPr>
              <w:t>1</w:t>
            </w:r>
            <w:r>
              <w:rPr>
                <w:rFonts w:cs="Arial"/>
                <w:sz w:val="24"/>
                <w:szCs w:val="24"/>
              </w:rPr>
              <w:t>5</w:t>
            </w:r>
          </w:p>
        </w:tc>
      </w:tr>
      <w:bookmarkEnd w:id="5"/>
      <w:tr w:rsidR="00792BEA" w:rsidRPr="009D211D" w:rsidTr="002B647B">
        <w:tc>
          <w:tcPr>
            <w:tcW w:w="1526" w:type="dxa"/>
            <w:shd w:val="clear" w:color="auto" w:fill="auto"/>
          </w:tcPr>
          <w:p w:rsidR="00792BEA" w:rsidRPr="009D211D" w:rsidRDefault="00792BEA" w:rsidP="00792BEA">
            <w:pPr>
              <w:spacing w:after="120"/>
              <w:jc w:val="left"/>
              <w:rPr>
                <w:rFonts w:cs="Arial"/>
                <w:sz w:val="24"/>
                <w:szCs w:val="24"/>
              </w:rPr>
            </w:pPr>
            <w:r w:rsidRPr="009D211D">
              <w:rPr>
                <w:rFonts w:cs="Arial"/>
                <w:sz w:val="24"/>
                <w:szCs w:val="24"/>
              </w:rPr>
              <w:t>Appendix 2</w:t>
            </w:r>
          </w:p>
        </w:tc>
        <w:tc>
          <w:tcPr>
            <w:tcW w:w="7655" w:type="dxa"/>
            <w:shd w:val="clear" w:color="auto" w:fill="auto"/>
          </w:tcPr>
          <w:p w:rsidR="00792BEA" w:rsidRPr="009D211D" w:rsidRDefault="00792BEA" w:rsidP="00792BEA">
            <w:pPr>
              <w:tabs>
                <w:tab w:val="left" w:pos="720"/>
              </w:tabs>
              <w:spacing w:after="120"/>
              <w:jc w:val="left"/>
              <w:rPr>
                <w:rFonts w:cs="Arial"/>
                <w:sz w:val="24"/>
                <w:szCs w:val="24"/>
              </w:rPr>
            </w:pPr>
            <w:r w:rsidRPr="009D211D">
              <w:rPr>
                <w:rFonts w:cs="Arial"/>
                <w:sz w:val="24"/>
                <w:szCs w:val="24"/>
              </w:rPr>
              <w:t>Four step incident management process</w:t>
            </w:r>
          </w:p>
        </w:tc>
        <w:tc>
          <w:tcPr>
            <w:tcW w:w="985" w:type="dxa"/>
            <w:shd w:val="clear" w:color="auto" w:fill="auto"/>
          </w:tcPr>
          <w:p w:rsidR="00792BEA" w:rsidRPr="009D211D" w:rsidRDefault="00792BEA" w:rsidP="00792BEA">
            <w:pPr>
              <w:spacing w:after="120"/>
              <w:jc w:val="left"/>
              <w:rPr>
                <w:rFonts w:cs="Arial"/>
                <w:sz w:val="24"/>
                <w:szCs w:val="24"/>
              </w:rPr>
            </w:pPr>
            <w:r w:rsidRPr="009D211D">
              <w:rPr>
                <w:rFonts w:cs="Arial"/>
                <w:sz w:val="24"/>
                <w:szCs w:val="24"/>
              </w:rPr>
              <w:t>1</w:t>
            </w:r>
            <w:r>
              <w:rPr>
                <w:rFonts w:cs="Arial"/>
                <w:sz w:val="24"/>
                <w:szCs w:val="24"/>
              </w:rPr>
              <w:t>6</w:t>
            </w:r>
            <w:r w:rsidRPr="009D211D">
              <w:rPr>
                <w:rFonts w:cs="Arial"/>
                <w:sz w:val="24"/>
                <w:szCs w:val="24"/>
              </w:rPr>
              <w:t>-1</w:t>
            </w:r>
            <w:r>
              <w:rPr>
                <w:rFonts w:cs="Arial"/>
                <w:sz w:val="24"/>
                <w:szCs w:val="24"/>
              </w:rPr>
              <w:t>7</w:t>
            </w:r>
          </w:p>
        </w:tc>
      </w:tr>
      <w:tr w:rsidR="00792BEA" w:rsidRPr="009D211D" w:rsidTr="002B647B">
        <w:tc>
          <w:tcPr>
            <w:tcW w:w="1526" w:type="dxa"/>
            <w:shd w:val="clear" w:color="auto" w:fill="auto"/>
          </w:tcPr>
          <w:p w:rsidR="00792BEA" w:rsidRPr="009D211D" w:rsidRDefault="00792BEA" w:rsidP="00792BEA">
            <w:pPr>
              <w:spacing w:after="120"/>
              <w:jc w:val="left"/>
              <w:rPr>
                <w:rFonts w:cs="Arial"/>
                <w:sz w:val="24"/>
                <w:szCs w:val="24"/>
              </w:rPr>
            </w:pPr>
            <w:r w:rsidRPr="009D211D">
              <w:rPr>
                <w:rFonts w:cs="Arial"/>
                <w:sz w:val="24"/>
                <w:szCs w:val="24"/>
              </w:rPr>
              <w:t>Appendix 3</w:t>
            </w:r>
          </w:p>
        </w:tc>
        <w:tc>
          <w:tcPr>
            <w:tcW w:w="7655" w:type="dxa"/>
            <w:shd w:val="clear" w:color="auto" w:fill="auto"/>
          </w:tcPr>
          <w:p w:rsidR="00792BEA" w:rsidRPr="009D211D" w:rsidRDefault="00792BEA" w:rsidP="00792BEA">
            <w:pPr>
              <w:tabs>
                <w:tab w:val="left" w:pos="720"/>
              </w:tabs>
              <w:spacing w:after="120"/>
              <w:jc w:val="left"/>
              <w:rPr>
                <w:rFonts w:cs="Arial"/>
                <w:sz w:val="24"/>
                <w:szCs w:val="24"/>
              </w:rPr>
            </w:pPr>
            <w:r w:rsidRPr="009D211D">
              <w:rPr>
                <w:rFonts w:cs="Arial"/>
                <w:sz w:val="24"/>
                <w:szCs w:val="24"/>
              </w:rPr>
              <w:t>Joint System Investigation process</w:t>
            </w:r>
          </w:p>
        </w:tc>
        <w:tc>
          <w:tcPr>
            <w:tcW w:w="985" w:type="dxa"/>
            <w:shd w:val="clear" w:color="auto" w:fill="auto"/>
          </w:tcPr>
          <w:p w:rsidR="00792BEA" w:rsidRPr="009D211D" w:rsidRDefault="00792BEA" w:rsidP="00792BEA">
            <w:pPr>
              <w:spacing w:after="120"/>
              <w:jc w:val="left"/>
              <w:rPr>
                <w:rFonts w:cs="Arial"/>
                <w:sz w:val="24"/>
                <w:szCs w:val="24"/>
              </w:rPr>
            </w:pPr>
            <w:r w:rsidRPr="009D211D">
              <w:rPr>
                <w:rFonts w:cs="Arial"/>
                <w:sz w:val="24"/>
                <w:szCs w:val="24"/>
              </w:rPr>
              <w:t>1</w:t>
            </w:r>
            <w:r>
              <w:rPr>
                <w:rFonts w:cs="Arial"/>
                <w:sz w:val="24"/>
                <w:szCs w:val="24"/>
              </w:rPr>
              <w:t>8</w:t>
            </w:r>
          </w:p>
        </w:tc>
      </w:tr>
      <w:tr w:rsidR="00792BEA" w:rsidRPr="009D211D" w:rsidTr="002B647B">
        <w:tc>
          <w:tcPr>
            <w:tcW w:w="1526" w:type="dxa"/>
            <w:shd w:val="clear" w:color="auto" w:fill="auto"/>
          </w:tcPr>
          <w:p w:rsidR="00792BEA" w:rsidRPr="009D211D" w:rsidRDefault="00792BEA" w:rsidP="00792BEA">
            <w:pPr>
              <w:spacing w:after="120"/>
              <w:jc w:val="left"/>
              <w:rPr>
                <w:rFonts w:cs="Arial"/>
                <w:sz w:val="24"/>
                <w:szCs w:val="24"/>
              </w:rPr>
            </w:pPr>
            <w:r w:rsidRPr="009D211D">
              <w:rPr>
                <w:rFonts w:cs="Arial"/>
                <w:sz w:val="24"/>
                <w:szCs w:val="24"/>
              </w:rPr>
              <w:t>Appendix 4</w:t>
            </w:r>
          </w:p>
        </w:tc>
        <w:tc>
          <w:tcPr>
            <w:tcW w:w="7655" w:type="dxa"/>
            <w:shd w:val="clear" w:color="auto" w:fill="auto"/>
          </w:tcPr>
          <w:p w:rsidR="00792BEA" w:rsidRPr="009D211D" w:rsidRDefault="00792BEA" w:rsidP="00792BEA">
            <w:pPr>
              <w:tabs>
                <w:tab w:val="left" w:pos="720"/>
              </w:tabs>
              <w:spacing w:after="120"/>
              <w:jc w:val="left"/>
              <w:rPr>
                <w:rFonts w:cs="Arial"/>
                <w:sz w:val="24"/>
                <w:szCs w:val="24"/>
              </w:rPr>
            </w:pPr>
            <w:r w:rsidRPr="009D211D">
              <w:rPr>
                <w:rFonts w:cs="Arial"/>
                <w:sz w:val="24"/>
                <w:szCs w:val="24"/>
              </w:rPr>
              <w:t>Patient Engagement checklist</w:t>
            </w:r>
          </w:p>
        </w:tc>
        <w:tc>
          <w:tcPr>
            <w:tcW w:w="985" w:type="dxa"/>
            <w:shd w:val="clear" w:color="auto" w:fill="auto"/>
          </w:tcPr>
          <w:p w:rsidR="00792BEA" w:rsidRPr="009D211D" w:rsidRDefault="00792BEA" w:rsidP="00792BEA">
            <w:pPr>
              <w:spacing w:after="120"/>
              <w:jc w:val="left"/>
              <w:rPr>
                <w:rFonts w:cs="Arial"/>
                <w:sz w:val="24"/>
                <w:szCs w:val="24"/>
              </w:rPr>
            </w:pPr>
            <w:r w:rsidRPr="009D211D">
              <w:rPr>
                <w:rFonts w:cs="Arial"/>
                <w:sz w:val="24"/>
                <w:szCs w:val="24"/>
              </w:rPr>
              <w:t>1</w:t>
            </w:r>
            <w:r>
              <w:rPr>
                <w:rFonts w:cs="Arial"/>
                <w:sz w:val="24"/>
                <w:szCs w:val="24"/>
              </w:rPr>
              <w:t>8</w:t>
            </w:r>
          </w:p>
        </w:tc>
      </w:tr>
    </w:tbl>
    <w:p w:rsidR="009D07FE" w:rsidRPr="009D211D" w:rsidRDefault="009D07FE" w:rsidP="009D211D">
      <w:pPr>
        <w:tabs>
          <w:tab w:val="left" w:pos="720"/>
        </w:tabs>
        <w:jc w:val="left"/>
        <w:rPr>
          <w:spacing w:val="0"/>
          <w:sz w:val="24"/>
          <w:szCs w:val="24"/>
        </w:rPr>
      </w:pPr>
      <w:bookmarkStart w:id="6" w:name="_Toc225692585"/>
      <w:bookmarkStart w:id="7" w:name="_Toc225692614"/>
      <w:bookmarkEnd w:id="4"/>
    </w:p>
    <w:p w:rsidR="006B3133" w:rsidRPr="009D211D" w:rsidRDefault="006B3133" w:rsidP="009D211D">
      <w:pPr>
        <w:tabs>
          <w:tab w:val="left" w:pos="720"/>
        </w:tabs>
        <w:jc w:val="left"/>
        <w:rPr>
          <w:spacing w:val="0"/>
          <w:sz w:val="24"/>
          <w:szCs w:val="24"/>
        </w:rPr>
      </w:pPr>
    </w:p>
    <w:p w:rsidR="00385C32" w:rsidRPr="009D211D" w:rsidRDefault="00385C32" w:rsidP="009D211D">
      <w:pPr>
        <w:tabs>
          <w:tab w:val="left" w:pos="720"/>
        </w:tabs>
        <w:jc w:val="left"/>
        <w:rPr>
          <w:spacing w:val="0"/>
          <w:sz w:val="24"/>
          <w:szCs w:val="24"/>
        </w:rPr>
      </w:pPr>
    </w:p>
    <w:p w:rsidR="00385C32" w:rsidRPr="009D211D" w:rsidRDefault="00385C32" w:rsidP="009D211D">
      <w:pPr>
        <w:tabs>
          <w:tab w:val="left" w:pos="720"/>
        </w:tabs>
        <w:jc w:val="left"/>
        <w:rPr>
          <w:spacing w:val="0"/>
          <w:sz w:val="24"/>
          <w:szCs w:val="24"/>
        </w:rPr>
      </w:pPr>
    </w:p>
    <w:p w:rsidR="00385C32" w:rsidRPr="009D211D" w:rsidRDefault="00385C32" w:rsidP="009D211D">
      <w:pPr>
        <w:tabs>
          <w:tab w:val="left" w:pos="720"/>
        </w:tabs>
        <w:jc w:val="left"/>
        <w:rPr>
          <w:spacing w:val="0"/>
          <w:sz w:val="24"/>
          <w:szCs w:val="24"/>
        </w:rPr>
      </w:pPr>
    </w:p>
    <w:p w:rsidR="00385C32" w:rsidRPr="009D211D" w:rsidRDefault="00385C32" w:rsidP="009D211D">
      <w:pPr>
        <w:tabs>
          <w:tab w:val="left" w:pos="720"/>
        </w:tabs>
        <w:jc w:val="left"/>
        <w:rPr>
          <w:spacing w:val="0"/>
          <w:sz w:val="24"/>
          <w:szCs w:val="24"/>
        </w:rPr>
      </w:pPr>
    </w:p>
    <w:p w:rsidR="00385C32" w:rsidRPr="009D211D" w:rsidRDefault="00385C32" w:rsidP="009D211D">
      <w:pPr>
        <w:tabs>
          <w:tab w:val="left" w:pos="720"/>
        </w:tabs>
        <w:jc w:val="left"/>
        <w:rPr>
          <w:spacing w:val="0"/>
          <w:sz w:val="24"/>
          <w:szCs w:val="24"/>
        </w:rPr>
      </w:pPr>
    </w:p>
    <w:p w:rsidR="00385C32" w:rsidRPr="009D211D" w:rsidRDefault="00385C32" w:rsidP="009D211D">
      <w:pPr>
        <w:tabs>
          <w:tab w:val="left" w:pos="720"/>
        </w:tabs>
        <w:jc w:val="left"/>
        <w:rPr>
          <w:spacing w:val="0"/>
          <w:sz w:val="24"/>
          <w:szCs w:val="24"/>
        </w:rPr>
      </w:pPr>
    </w:p>
    <w:p w:rsidR="00385C32" w:rsidRPr="009D211D" w:rsidRDefault="00385C32" w:rsidP="009D211D">
      <w:pPr>
        <w:tabs>
          <w:tab w:val="left" w:pos="720"/>
        </w:tabs>
        <w:jc w:val="left"/>
        <w:rPr>
          <w:spacing w:val="0"/>
          <w:sz w:val="24"/>
          <w:szCs w:val="24"/>
        </w:rPr>
      </w:pPr>
    </w:p>
    <w:p w:rsidR="00385C32" w:rsidRPr="009D211D" w:rsidRDefault="00385C32" w:rsidP="009D211D">
      <w:pPr>
        <w:tabs>
          <w:tab w:val="left" w:pos="720"/>
        </w:tabs>
        <w:jc w:val="left"/>
        <w:rPr>
          <w:spacing w:val="0"/>
          <w:sz w:val="24"/>
          <w:szCs w:val="24"/>
        </w:rPr>
      </w:pPr>
    </w:p>
    <w:p w:rsidR="00385C32" w:rsidRPr="009D211D" w:rsidRDefault="00385C32" w:rsidP="009D211D">
      <w:pPr>
        <w:tabs>
          <w:tab w:val="left" w:pos="720"/>
        </w:tabs>
        <w:jc w:val="left"/>
        <w:rPr>
          <w:spacing w:val="0"/>
          <w:sz w:val="24"/>
          <w:szCs w:val="24"/>
        </w:rPr>
      </w:pPr>
    </w:p>
    <w:p w:rsidR="00385C32" w:rsidRPr="009D211D" w:rsidRDefault="00385C32" w:rsidP="009D211D">
      <w:pPr>
        <w:tabs>
          <w:tab w:val="left" w:pos="720"/>
        </w:tabs>
        <w:jc w:val="left"/>
        <w:rPr>
          <w:spacing w:val="0"/>
          <w:sz w:val="24"/>
          <w:szCs w:val="24"/>
        </w:rPr>
      </w:pPr>
    </w:p>
    <w:p w:rsidR="00385C32" w:rsidRPr="009D211D" w:rsidRDefault="00385C32" w:rsidP="009D211D">
      <w:pPr>
        <w:tabs>
          <w:tab w:val="left" w:pos="720"/>
        </w:tabs>
        <w:jc w:val="left"/>
        <w:rPr>
          <w:spacing w:val="0"/>
          <w:sz w:val="24"/>
          <w:szCs w:val="24"/>
        </w:rPr>
      </w:pPr>
    </w:p>
    <w:p w:rsidR="00385C32" w:rsidRPr="009D211D" w:rsidRDefault="00385C32" w:rsidP="009D211D">
      <w:pPr>
        <w:tabs>
          <w:tab w:val="left" w:pos="720"/>
        </w:tabs>
        <w:jc w:val="left"/>
        <w:rPr>
          <w:spacing w:val="0"/>
          <w:sz w:val="24"/>
          <w:szCs w:val="24"/>
        </w:rPr>
      </w:pPr>
    </w:p>
    <w:p w:rsidR="00385C32" w:rsidRPr="009D211D" w:rsidRDefault="00385C32" w:rsidP="009D211D">
      <w:pPr>
        <w:tabs>
          <w:tab w:val="left" w:pos="720"/>
        </w:tabs>
        <w:jc w:val="left"/>
        <w:rPr>
          <w:spacing w:val="0"/>
          <w:sz w:val="24"/>
          <w:szCs w:val="24"/>
        </w:rPr>
      </w:pPr>
    </w:p>
    <w:p w:rsidR="00385C32" w:rsidRPr="009D211D" w:rsidRDefault="00385C32" w:rsidP="009D211D">
      <w:pPr>
        <w:tabs>
          <w:tab w:val="left" w:pos="720"/>
        </w:tabs>
        <w:jc w:val="left"/>
        <w:rPr>
          <w:spacing w:val="0"/>
          <w:sz w:val="24"/>
          <w:szCs w:val="24"/>
        </w:rPr>
      </w:pPr>
    </w:p>
    <w:p w:rsidR="00385C32" w:rsidRPr="009D211D" w:rsidRDefault="00385C32" w:rsidP="009D211D">
      <w:pPr>
        <w:tabs>
          <w:tab w:val="left" w:pos="720"/>
        </w:tabs>
        <w:jc w:val="left"/>
        <w:rPr>
          <w:spacing w:val="0"/>
          <w:sz w:val="24"/>
          <w:szCs w:val="24"/>
        </w:rPr>
      </w:pPr>
    </w:p>
    <w:p w:rsidR="00385C32" w:rsidRPr="009D211D" w:rsidRDefault="00385C32" w:rsidP="009D211D">
      <w:pPr>
        <w:tabs>
          <w:tab w:val="left" w:pos="720"/>
        </w:tabs>
        <w:jc w:val="left"/>
        <w:rPr>
          <w:spacing w:val="0"/>
          <w:sz w:val="24"/>
          <w:szCs w:val="24"/>
        </w:rPr>
      </w:pPr>
    </w:p>
    <w:p w:rsidR="00385C32" w:rsidRPr="009D211D" w:rsidRDefault="00385C32" w:rsidP="009D211D">
      <w:pPr>
        <w:tabs>
          <w:tab w:val="left" w:pos="720"/>
        </w:tabs>
        <w:jc w:val="left"/>
        <w:rPr>
          <w:spacing w:val="0"/>
          <w:sz w:val="24"/>
          <w:szCs w:val="24"/>
        </w:rPr>
      </w:pPr>
    </w:p>
    <w:p w:rsidR="00385C32" w:rsidRPr="009D211D" w:rsidRDefault="00385C32" w:rsidP="009D211D">
      <w:pPr>
        <w:tabs>
          <w:tab w:val="left" w:pos="720"/>
        </w:tabs>
        <w:jc w:val="left"/>
        <w:rPr>
          <w:spacing w:val="0"/>
          <w:sz w:val="24"/>
          <w:szCs w:val="24"/>
        </w:rPr>
      </w:pPr>
    </w:p>
    <w:p w:rsidR="00385C32" w:rsidRPr="009D211D" w:rsidRDefault="00385C32" w:rsidP="009D211D">
      <w:pPr>
        <w:tabs>
          <w:tab w:val="left" w:pos="720"/>
        </w:tabs>
        <w:jc w:val="left"/>
        <w:rPr>
          <w:spacing w:val="0"/>
          <w:sz w:val="24"/>
          <w:szCs w:val="24"/>
        </w:rPr>
      </w:pPr>
    </w:p>
    <w:p w:rsidR="00385C32" w:rsidRPr="009D211D" w:rsidRDefault="00385C32" w:rsidP="009D211D">
      <w:pPr>
        <w:tabs>
          <w:tab w:val="left" w:pos="720"/>
        </w:tabs>
        <w:jc w:val="left"/>
        <w:rPr>
          <w:b/>
          <w:spacing w:val="0"/>
          <w:sz w:val="24"/>
          <w:szCs w:val="24"/>
        </w:rPr>
      </w:pPr>
      <w:r w:rsidRPr="009D211D">
        <w:rPr>
          <w:b/>
          <w:spacing w:val="0"/>
          <w:sz w:val="24"/>
          <w:szCs w:val="24"/>
        </w:rPr>
        <w:t>Introduction</w:t>
      </w:r>
    </w:p>
    <w:p w:rsidR="00385C32" w:rsidRPr="009D211D" w:rsidRDefault="00385C32" w:rsidP="009D211D">
      <w:pPr>
        <w:spacing w:before="280" w:after="280" w:line="276" w:lineRule="auto"/>
        <w:ind w:right="119"/>
        <w:jc w:val="left"/>
        <w:rPr>
          <w:sz w:val="24"/>
          <w:szCs w:val="24"/>
        </w:rPr>
      </w:pPr>
      <w:r w:rsidRPr="009D211D">
        <w:rPr>
          <w:sz w:val="24"/>
          <w:szCs w:val="24"/>
        </w:rPr>
        <w:lastRenderedPageBreak/>
        <w:t xml:space="preserve">The </w:t>
      </w:r>
      <w:hyperlink r:id="rId8" w:history="1">
        <w:r w:rsidRPr="009D211D">
          <w:rPr>
            <w:rStyle w:val="Hyperlink"/>
            <w:sz w:val="24"/>
            <w:szCs w:val="24"/>
          </w:rPr>
          <w:t>Patient safety incident response framework (PSIRF)</w:t>
        </w:r>
      </w:hyperlink>
      <w:r w:rsidRPr="009D211D">
        <w:rPr>
          <w:sz w:val="24"/>
          <w:szCs w:val="24"/>
        </w:rPr>
        <w:t xml:space="preserve"> provides a new approach to how we respond to incidents removing barriers and promote ways to successfully learn and make improvements following an incident. Those who are leading the patient safety agenda within Kent Community Health Foundation Trust (KCHFT) will help to decide how we respond to patient safety incidents based on the need to generate insight to inform safety improvement where it matters most. One of the requirements within PSIRF is that we have a Patient Safety Incident Response Plan (PSIRP). This PSIRP document covers responses conducted solely for the purpose of systems-based learning and improvement.</w:t>
      </w:r>
    </w:p>
    <w:p w:rsidR="008D677F" w:rsidRPr="009D211D" w:rsidRDefault="008D677F" w:rsidP="009D211D">
      <w:pPr>
        <w:numPr>
          <w:ilvl w:val="0"/>
          <w:numId w:val="2"/>
        </w:numPr>
        <w:jc w:val="left"/>
        <w:rPr>
          <w:b/>
          <w:spacing w:val="0"/>
          <w:sz w:val="24"/>
          <w:szCs w:val="24"/>
        </w:rPr>
      </w:pPr>
      <w:bookmarkStart w:id="8" w:name="_Hlk135292364"/>
      <w:bookmarkEnd w:id="6"/>
      <w:bookmarkEnd w:id="7"/>
      <w:r w:rsidRPr="009D211D">
        <w:rPr>
          <w:b/>
          <w:spacing w:val="0"/>
          <w:sz w:val="24"/>
          <w:szCs w:val="24"/>
        </w:rPr>
        <w:t>Purpose, scope, aims and objectives</w:t>
      </w:r>
      <w:bookmarkEnd w:id="8"/>
    </w:p>
    <w:p w:rsidR="002D32B7" w:rsidRPr="009D211D" w:rsidRDefault="002D32B7" w:rsidP="009D211D">
      <w:pPr>
        <w:ind w:left="720"/>
        <w:jc w:val="left"/>
        <w:rPr>
          <w:b/>
          <w:spacing w:val="0"/>
          <w:sz w:val="24"/>
          <w:szCs w:val="24"/>
        </w:rPr>
      </w:pPr>
    </w:p>
    <w:p w:rsidR="008D677F" w:rsidRPr="009D211D" w:rsidRDefault="008D677F" w:rsidP="009D211D">
      <w:pPr>
        <w:numPr>
          <w:ilvl w:val="1"/>
          <w:numId w:val="2"/>
        </w:numPr>
        <w:ind w:left="720"/>
        <w:jc w:val="left"/>
        <w:rPr>
          <w:b/>
          <w:spacing w:val="0"/>
          <w:sz w:val="24"/>
          <w:szCs w:val="24"/>
        </w:rPr>
      </w:pPr>
      <w:r w:rsidRPr="009D211D">
        <w:rPr>
          <w:b/>
          <w:spacing w:val="0"/>
          <w:sz w:val="24"/>
          <w:szCs w:val="24"/>
        </w:rPr>
        <w:t>Purpose</w:t>
      </w:r>
    </w:p>
    <w:p w:rsidR="008D677F" w:rsidRPr="009D211D" w:rsidRDefault="008D677F" w:rsidP="009D211D">
      <w:pPr>
        <w:ind w:left="720"/>
        <w:jc w:val="left"/>
        <w:rPr>
          <w:b/>
          <w:spacing w:val="0"/>
          <w:sz w:val="24"/>
          <w:szCs w:val="24"/>
        </w:rPr>
      </w:pPr>
    </w:p>
    <w:p w:rsidR="008D677F" w:rsidRPr="009D211D" w:rsidRDefault="008D677F" w:rsidP="009D211D">
      <w:pPr>
        <w:spacing w:line="276" w:lineRule="auto"/>
        <w:jc w:val="left"/>
        <w:rPr>
          <w:spacing w:val="0"/>
          <w:sz w:val="24"/>
          <w:szCs w:val="24"/>
        </w:rPr>
      </w:pPr>
      <w:r w:rsidRPr="009D211D">
        <w:rPr>
          <w:spacing w:val="0"/>
          <w:sz w:val="24"/>
          <w:szCs w:val="24"/>
        </w:rPr>
        <w:t xml:space="preserve">This patient safety incident response plan sets out how KCHFT intends to respond to patient safety incidents reported by staff, patients, relatives or carers. The plan is not a permanent rule that cannot be changed therefore, this plan will be reviewed </w:t>
      </w:r>
      <w:r w:rsidR="006C3146" w:rsidRPr="009B3B64">
        <w:rPr>
          <w:rFonts w:cs="Arial"/>
          <w:sz w:val="24"/>
          <w:szCs w:val="24"/>
        </w:rPr>
        <w:t>at least annually with ICB but can be more often as this is a ‘live, evolving’ document</w:t>
      </w:r>
      <w:r w:rsidRPr="009B3B64">
        <w:rPr>
          <w:spacing w:val="0"/>
          <w:sz w:val="24"/>
          <w:szCs w:val="24"/>
        </w:rPr>
        <w:t>.</w:t>
      </w:r>
      <w:r w:rsidRPr="009D211D">
        <w:rPr>
          <w:spacing w:val="0"/>
          <w:sz w:val="24"/>
          <w:szCs w:val="24"/>
        </w:rPr>
        <w:t xml:space="preserve"> During this time, we will remain flexible and consider the specific circumstances in which patient safety issues and incidents occurred and the needs of those affected. </w:t>
      </w:r>
    </w:p>
    <w:p w:rsidR="008D677F" w:rsidRPr="009D211D" w:rsidRDefault="008D677F" w:rsidP="009D211D">
      <w:pPr>
        <w:jc w:val="left"/>
        <w:rPr>
          <w:b/>
          <w:spacing w:val="0"/>
          <w:sz w:val="24"/>
          <w:szCs w:val="24"/>
        </w:rPr>
      </w:pPr>
    </w:p>
    <w:p w:rsidR="008D677F" w:rsidRPr="009D211D" w:rsidRDefault="008D677F" w:rsidP="009D211D">
      <w:pPr>
        <w:numPr>
          <w:ilvl w:val="1"/>
          <w:numId w:val="2"/>
        </w:numPr>
        <w:ind w:left="720"/>
        <w:jc w:val="left"/>
        <w:rPr>
          <w:b/>
          <w:spacing w:val="0"/>
          <w:sz w:val="24"/>
          <w:szCs w:val="24"/>
        </w:rPr>
      </w:pPr>
      <w:r w:rsidRPr="009D211D">
        <w:rPr>
          <w:b/>
          <w:spacing w:val="0"/>
          <w:sz w:val="24"/>
          <w:szCs w:val="24"/>
        </w:rPr>
        <w:t>Scope</w:t>
      </w:r>
    </w:p>
    <w:p w:rsidR="008D677F" w:rsidRPr="009D211D" w:rsidRDefault="008D677F" w:rsidP="009D211D">
      <w:pPr>
        <w:jc w:val="left"/>
        <w:rPr>
          <w:b/>
          <w:spacing w:val="0"/>
          <w:sz w:val="24"/>
          <w:szCs w:val="24"/>
        </w:rPr>
      </w:pPr>
    </w:p>
    <w:p w:rsidR="008D677F" w:rsidRPr="009D211D" w:rsidRDefault="008D677F" w:rsidP="009D211D">
      <w:pPr>
        <w:spacing w:line="276" w:lineRule="auto"/>
        <w:jc w:val="left"/>
        <w:rPr>
          <w:spacing w:val="0"/>
          <w:sz w:val="24"/>
          <w:szCs w:val="24"/>
        </w:rPr>
      </w:pPr>
      <w:r w:rsidRPr="009D211D">
        <w:rPr>
          <w:spacing w:val="0"/>
          <w:sz w:val="24"/>
          <w:szCs w:val="24"/>
        </w:rPr>
        <w:t xml:space="preserve">There are many ways to respond to an incident. This document covers responses conducted solely for the purpose of system learning and improvement. </w:t>
      </w:r>
    </w:p>
    <w:p w:rsidR="008D677F" w:rsidRPr="009D211D" w:rsidRDefault="008D677F" w:rsidP="009D211D">
      <w:pPr>
        <w:spacing w:line="276" w:lineRule="auto"/>
        <w:jc w:val="left"/>
        <w:rPr>
          <w:spacing w:val="0"/>
          <w:sz w:val="24"/>
          <w:szCs w:val="24"/>
        </w:rPr>
      </w:pPr>
      <w:r w:rsidRPr="009D211D">
        <w:rPr>
          <w:spacing w:val="0"/>
          <w:sz w:val="24"/>
          <w:szCs w:val="24"/>
        </w:rPr>
        <w:t xml:space="preserve">Patient safety incidents are any unintended or unexpected incident which could have, or did, lead to harm for one or more patients receiving healthcare. </w:t>
      </w:r>
    </w:p>
    <w:p w:rsidR="008D677F" w:rsidRPr="009D211D" w:rsidRDefault="008D677F" w:rsidP="009D211D">
      <w:pPr>
        <w:spacing w:line="276" w:lineRule="auto"/>
        <w:jc w:val="left"/>
        <w:rPr>
          <w:spacing w:val="0"/>
          <w:sz w:val="24"/>
          <w:szCs w:val="24"/>
        </w:rPr>
      </w:pPr>
      <w:r w:rsidRPr="009D211D">
        <w:rPr>
          <w:spacing w:val="0"/>
          <w:sz w:val="24"/>
          <w:szCs w:val="24"/>
        </w:rPr>
        <w:t>There is no remit to apportion blame or determine liability, preventability or cause of death in a response conducted for the purpose of learning and improvement.</w:t>
      </w:r>
    </w:p>
    <w:p w:rsidR="008D677F" w:rsidRPr="009D211D" w:rsidRDefault="008D677F" w:rsidP="009D211D">
      <w:pPr>
        <w:spacing w:line="276" w:lineRule="auto"/>
        <w:jc w:val="left"/>
        <w:rPr>
          <w:spacing w:val="0"/>
          <w:sz w:val="24"/>
          <w:szCs w:val="24"/>
        </w:rPr>
      </w:pPr>
    </w:p>
    <w:p w:rsidR="008D677F" w:rsidRPr="009D211D" w:rsidRDefault="008D677F" w:rsidP="009D211D">
      <w:pPr>
        <w:jc w:val="left"/>
        <w:rPr>
          <w:spacing w:val="0"/>
          <w:sz w:val="24"/>
          <w:szCs w:val="24"/>
        </w:rPr>
      </w:pPr>
      <w:r w:rsidRPr="009D211D">
        <w:rPr>
          <w:spacing w:val="0"/>
          <w:sz w:val="24"/>
          <w:szCs w:val="24"/>
        </w:rPr>
        <w:t xml:space="preserve">Learning Responses covered in this Plan include (see </w:t>
      </w:r>
      <w:r w:rsidR="002B647B" w:rsidRPr="009D211D">
        <w:rPr>
          <w:spacing w:val="0"/>
          <w:sz w:val="24"/>
          <w:szCs w:val="24"/>
        </w:rPr>
        <w:t>A</w:t>
      </w:r>
      <w:r w:rsidRPr="009D211D">
        <w:rPr>
          <w:spacing w:val="0"/>
          <w:sz w:val="24"/>
          <w:szCs w:val="24"/>
        </w:rPr>
        <w:t xml:space="preserve">ppendix </w:t>
      </w:r>
      <w:r w:rsidR="002B647B" w:rsidRPr="009D211D">
        <w:rPr>
          <w:spacing w:val="0"/>
          <w:sz w:val="24"/>
          <w:szCs w:val="24"/>
        </w:rPr>
        <w:t xml:space="preserve">1 </w:t>
      </w:r>
      <w:r w:rsidRPr="009D211D">
        <w:rPr>
          <w:spacing w:val="0"/>
          <w:sz w:val="24"/>
          <w:szCs w:val="24"/>
        </w:rPr>
        <w:t xml:space="preserve">for details): </w:t>
      </w:r>
    </w:p>
    <w:p w:rsidR="008D677F" w:rsidRPr="009D211D" w:rsidRDefault="008D677F" w:rsidP="009D211D">
      <w:pPr>
        <w:numPr>
          <w:ilvl w:val="0"/>
          <w:numId w:val="4"/>
        </w:numPr>
        <w:ind w:left="720"/>
        <w:jc w:val="left"/>
        <w:rPr>
          <w:spacing w:val="0"/>
          <w:sz w:val="24"/>
          <w:szCs w:val="24"/>
        </w:rPr>
      </w:pPr>
      <w:r w:rsidRPr="009D211D">
        <w:rPr>
          <w:spacing w:val="0"/>
          <w:sz w:val="24"/>
          <w:szCs w:val="24"/>
        </w:rPr>
        <w:t xml:space="preserve">Patient Safety Incident Investigations (PSIIs) </w:t>
      </w:r>
    </w:p>
    <w:p w:rsidR="008D677F" w:rsidRPr="009D211D" w:rsidRDefault="008D677F" w:rsidP="009D211D">
      <w:pPr>
        <w:numPr>
          <w:ilvl w:val="0"/>
          <w:numId w:val="4"/>
        </w:numPr>
        <w:ind w:left="720"/>
        <w:jc w:val="left"/>
        <w:rPr>
          <w:spacing w:val="0"/>
          <w:sz w:val="24"/>
          <w:szCs w:val="24"/>
        </w:rPr>
      </w:pPr>
      <w:r w:rsidRPr="009D211D">
        <w:rPr>
          <w:spacing w:val="0"/>
          <w:sz w:val="24"/>
          <w:szCs w:val="24"/>
        </w:rPr>
        <w:t xml:space="preserve">After- Action Reviews (AAR) </w:t>
      </w:r>
    </w:p>
    <w:p w:rsidR="008D677F" w:rsidRPr="009D211D" w:rsidRDefault="008D677F" w:rsidP="009D211D">
      <w:pPr>
        <w:numPr>
          <w:ilvl w:val="0"/>
          <w:numId w:val="4"/>
        </w:numPr>
        <w:ind w:left="720"/>
        <w:jc w:val="left"/>
        <w:rPr>
          <w:spacing w:val="0"/>
          <w:sz w:val="24"/>
          <w:szCs w:val="24"/>
        </w:rPr>
      </w:pPr>
      <w:r w:rsidRPr="009D211D">
        <w:rPr>
          <w:spacing w:val="0"/>
          <w:sz w:val="24"/>
          <w:szCs w:val="24"/>
        </w:rPr>
        <w:t>Hot debrief/ Swarm huddle</w:t>
      </w:r>
    </w:p>
    <w:p w:rsidR="008D677F" w:rsidRPr="009D211D" w:rsidRDefault="008D677F" w:rsidP="009D211D">
      <w:pPr>
        <w:numPr>
          <w:ilvl w:val="0"/>
          <w:numId w:val="4"/>
        </w:numPr>
        <w:ind w:left="720"/>
        <w:jc w:val="left"/>
        <w:rPr>
          <w:spacing w:val="0"/>
          <w:sz w:val="24"/>
          <w:szCs w:val="24"/>
        </w:rPr>
      </w:pPr>
      <w:r w:rsidRPr="009D211D">
        <w:rPr>
          <w:spacing w:val="0"/>
          <w:sz w:val="24"/>
          <w:szCs w:val="24"/>
        </w:rPr>
        <w:t>Cluster review</w:t>
      </w:r>
    </w:p>
    <w:p w:rsidR="008D677F" w:rsidRPr="009D211D" w:rsidRDefault="008D677F" w:rsidP="009D211D">
      <w:pPr>
        <w:numPr>
          <w:ilvl w:val="0"/>
          <w:numId w:val="4"/>
        </w:numPr>
        <w:ind w:left="720"/>
        <w:jc w:val="left"/>
        <w:rPr>
          <w:spacing w:val="0"/>
          <w:sz w:val="24"/>
          <w:szCs w:val="24"/>
        </w:rPr>
      </w:pPr>
      <w:r w:rsidRPr="009D211D">
        <w:rPr>
          <w:spacing w:val="0"/>
          <w:sz w:val="24"/>
          <w:szCs w:val="24"/>
        </w:rPr>
        <w:t>Thematic reviews</w:t>
      </w:r>
    </w:p>
    <w:p w:rsidR="008D677F" w:rsidRPr="009D211D" w:rsidRDefault="008D677F" w:rsidP="009D211D">
      <w:pPr>
        <w:numPr>
          <w:ilvl w:val="0"/>
          <w:numId w:val="4"/>
        </w:numPr>
        <w:ind w:left="720"/>
        <w:jc w:val="left"/>
        <w:rPr>
          <w:spacing w:val="0"/>
          <w:sz w:val="24"/>
          <w:szCs w:val="24"/>
        </w:rPr>
      </w:pPr>
      <w:r w:rsidRPr="009D211D">
        <w:rPr>
          <w:spacing w:val="0"/>
          <w:sz w:val="24"/>
          <w:szCs w:val="24"/>
        </w:rPr>
        <w:t>S</w:t>
      </w:r>
      <w:r w:rsidR="00413E46" w:rsidRPr="009D211D">
        <w:rPr>
          <w:spacing w:val="0"/>
          <w:sz w:val="24"/>
          <w:szCs w:val="24"/>
        </w:rPr>
        <w:t>tructured</w:t>
      </w:r>
      <w:r w:rsidRPr="009D211D">
        <w:rPr>
          <w:spacing w:val="0"/>
          <w:sz w:val="24"/>
          <w:szCs w:val="24"/>
        </w:rPr>
        <w:t xml:space="preserve"> Judgement reviews </w:t>
      </w:r>
    </w:p>
    <w:p w:rsidR="008D677F" w:rsidRPr="009D211D" w:rsidRDefault="008D677F" w:rsidP="009D211D">
      <w:pPr>
        <w:ind w:left="720"/>
        <w:jc w:val="left"/>
        <w:rPr>
          <w:spacing w:val="0"/>
          <w:sz w:val="24"/>
          <w:szCs w:val="24"/>
        </w:rPr>
      </w:pPr>
    </w:p>
    <w:p w:rsidR="005056E3" w:rsidRPr="009D211D" w:rsidRDefault="008D677F" w:rsidP="009D211D">
      <w:pPr>
        <w:spacing w:line="276" w:lineRule="auto"/>
        <w:jc w:val="left"/>
        <w:rPr>
          <w:spacing w:val="0"/>
          <w:sz w:val="24"/>
          <w:szCs w:val="24"/>
        </w:rPr>
      </w:pPr>
      <w:r w:rsidRPr="009D211D">
        <w:rPr>
          <w:spacing w:val="0"/>
          <w:sz w:val="24"/>
          <w:szCs w:val="24"/>
        </w:rPr>
        <w:t>There may be other types of response to support with specific issues or concerns. Examples of such responses include complaints management, claims handling, human resources investigations into employment concerns, professional standards investigations, coroners’ inquests or criminal investigations. The principle aims of each of these responses differ from the aims of a patient safety response and are outside the scope of this Plan.</w:t>
      </w:r>
    </w:p>
    <w:p w:rsidR="005056E3" w:rsidRPr="009D211D" w:rsidRDefault="005056E3" w:rsidP="009D211D">
      <w:pPr>
        <w:ind w:left="720"/>
        <w:jc w:val="left"/>
        <w:rPr>
          <w:spacing w:val="0"/>
          <w:sz w:val="24"/>
          <w:szCs w:val="24"/>
        </w:rPr>
      </w:pPr>
    </w:p>
    <w:p w:rsidR="008D677F" w:rsidRPr="009D211D" w:rsidRDefault="008D677F" w:rsidP="009D211D">
      <w:pPr>
        <w:numPr>
          <w:ilvl w:val="1"/>
          <w:numId w:val="2"/>
        </w:numPr>
        <w:ind w:left="720"/>
        <w:jc w:val="left"/>
        <w:rPr>
          <w:b/>
          <w:spacing w:val="0"/>
          <w:sz w:val="24"/>
          <w:szCs w:val="24"/>
        </w:rPr>
      </w:pPr>
      <w:r w:rsidRPr="009D211D">
        <w:rPr>
          <w:b/>
          <w:spacing w:val="0"/>
          <w:sz w:val="24"/>
          <w:szCs w:val="24"/>
        </w:rPr>
        <w:t xml:space="preserve">Aims and objectives </w:t>
      </w:r>
    </w:p>
    <w:p w:rsidR="00762DA1" w:rsidRPr="009D211D" w:rsidRDefault="00762DA1" w:rsidP="009D211D">
      <w:pPr>
        <w:ind w:left="720"/>
        <w:jc w:val="left"/>
        <w:rPr>
          <w:b/>
          <w:spacing w:val="0"/>
          <w:sz w:val="24"/>
          <w:szCs w:val="24"/>
        </w:rPr>
      </w:pPr>
    </w:p>
    <w:p w:rsidR="00762DA1" w:rsidRPr="009D211D" w:rsidRDefault="00762DA1" w:rsidP="009D211D">
      <w:pPr>
        <w:jc w:val="left"/>
        <w:rPr>
          <w:spacing w:val="0"/>
          <w:sz w:val="24"/>
          <w:szCs w:val="24"/>
        </w:rPr>
      </w:pPr>
      <w:r w:rsidRPr="009D211D">
        <w:rPr>
          <w:spacing w:val="0"/>
          <w:sz w:val="24"/>
          <w:szCs w:val="24"/>
        </w:rPr>
        <w:t>The four strategic aims of the PSIRF are aligned with our own Trust vision statements.</w:t>
      </w:r>
    </w:p>
    <w:p w:rsidR="00762DA1" w:rsidRPr="009D211D" w:rsidRDefault="00762DA1" w:rsidP="009D211D">
      <w:pPr>
        <w:jc w:val="left"/>
        <w:rPr>
          <w:spacing w:val="0"/>
          <w:sz w:val="24"/>
          <w:szCs w:val="24"/>
        </w:rPr>
      </w:pPr>
      <w:r w:rsidRPr="009D211D">
        <w:rPr>
          <w:spacing w:val="0"/>
          <w:sz w:val="24"/>
          <w:szCs w:val="24"/>
        </w:rPr>
        <w:t>PSIRF aims:</w:t>
      </w:r>
    </w:p>
    <w:p w:rsidR="00762DA1" w:rsidRPr="009D211D" w:rsidRDefault="00762DA1" w:rsidP="009D211D">
      <w:pPr>
        <w:numPr>
          <w:ilvl w:val="0"/>
          <w:numId w:val="22"/>
        </w:numPr>
        <w:jc w:val="left"/>
        <w:rPr>
          <w:spacing w:val="0"/>
          <w:sz w:val="24"/>
          <w:szCs w:val="24"/>
        </w:rPr>
      </w:pPr>
      <w:r w:rsidRPr="009D211D">
        <w:rPr>
          <w:spacing w:val="0"/>
          <w:sz w:val="24"/>
          <w:szCs w:val="24"/>
        </w:rPr>
        <w:lastRenderedPageBreak/>
        <w:t>Compassionate engagement and involvement of those affected by patient safety incidents</w:t>
      </w:r>
    </w:p>
    <w:p w:rsidR="00762DA1" w:rsidRPr="009D211D" w:rsidRDefault="00762DA1" w:rsidP="009D211D">
      <w:pPr>
        <w:numPr>
          <w:ilvl w:val="0"/>
          <w:numId w:val="5"/>
        </w:numPr>
        <w:ind w:left="1080"/>
        <w:jc w:val="left"/>
        <w:rPr>
          <w:spacing w:val="0"/>
          <w:sz w:val="24"/>
          <w:szCs w:val="24"/>
        </w:rPr>
      </w:pPr>
      <w:r w:rsidRPr="009D211D">
        <w:rPr>
          <w:spacing w:val="0"/>
          <w:sz w:val="24"/>
          <w:szCs w:val="24"/>
        </w:rPr>
        <w:t>Application of a range of system-based approaches to learning from patient safety incidents</w:t>
      </w:r>
    </w:p>
    <w:p w:rsidR="00762DA1" w:rsidRPr="009D211D" w:rsidRDefault="00762DA1" w:rsidP="009D211D">
      <w:pPr>
        <w:numPr>
          <w:ilvl w:val="0"/>
          <w:numId w:val="5"/>
        </w:numPr>
        <w:ind w:left="1080"/>
        <w:jc w:val="left"/>
        <w:rPr>
          <w:spacing w:val="0"/>
          <w:sz w:val="24"/>
          <w:szCs w:val="24"/>
        </w:rPr>
      </w:pPr>
      <w:r w:rsidRPr="009D211D">
        <w:rPr>
          <w:spacing w:val="0"/>
          <w:sz w:val="24"/>
          <w:szCs w:val="24"/>
        </w:rPr>
        <w:t>Considered and proportionate responses to patient safety incidents</w:t>
      </w:r>
    </w:p>
    <w:p w:rsidR="00762DA1" w:rsidRPr="009D211D" w:rsidRDefault="00762DA1" w:rsidP="009D211D">
      <w:pPr>
        <w:numPr>
          <w:ilvl w:val="0"/>
          <w:numId w:val="5"/>
        </w:numPr>
        <w:ind w:left="1080"/>
        <w:jc w:val="left"/>
        <w:rPr>
          <w:spacing w:val="0"/>
          <w:sz w:val="24"/>
          <w:szCs w:val="24"/>
        </w:rPr>
      </w:pPr>
      <w:r w:rsidRPr="009D211D">
        <w:rPr>
          <w:spacing w:val="0"/>
          <w:sz w:val="24"/>
          <w:szCs w:val="24"/>
        </w:rPr>
        <w:t>Supportive oversight focused on strengthening response system functioning and improvement</w:t>
      </w:r>
    </w:p>
    <w:p w:rsidR="00762DA1" w:rsidRPr="009D211D" w:rsidRDefault="00762DA1" w:rsidP="009D211D">
      <w:pPr>
        <w:ind w:left="1440"/>
        <w:jc w:val="left"/>
        <w:rPr>
          <w:spacing w:val="0"/>
          <w:sz w:val="24"/>
          <w:szCs w:val="24"/>
        </w:rPr>
      </w:pPr>
    </w:p>
    <w:p w:rsidR="00762DA1" w:rsidRPr="009D211D" w:rsidRDefault="00762DA1" w:rsidP="009D211D">
      <w:pPr>
        <w:jc w:val="left"/>
        <w:rPr>
          <w:spacing w:val="0"/>
          <w:sz w:val="24"/>
          <w:szCs w:val="24"/>
        </w:rPr>
      </w:pPr>
      <w:r w:rsidRPr="009D211D">
        <w:rPr>
          <w:spacing w:val="0"/>
          <w:sz w:val="24"/>
          <w:szCs w:val="24"/>
        </w:rPr>
        <w:t>KCHFT care values</w:t>
      </w:r>
    </w:p>
    <w:p w:rsidR="00762DA1" w:rsidRPr="009D211D" w:rsidRDefault="00762DA1" w:rsidP="009D211D">
      <w:pPr>
        <w:numPr>
          <w:ilvl w:val="0"/>
          <w:numId w:val="6"/>
        </w:numPr>
        <w:ind w:left="720"/>
        <w:jc w:val="left"/>
        <w:rPr>
          <w:spacing w:val="0"/>
          <w:sz w:val="24"/>
          <w:szCs w:val="24"/>
        </w:rPr>
      </w:pPr>
      <w:r w:rsidRPr="009D211D">
        <w:rPr>
          <w:b/>
          <w:spacing w:val="0"/>
          <w:sz w:val="24"/>
          <w:szCs w:val="24"/>
        </w:rPr>
        <w:t>Compassionate</w:t>
      </w:r>
      <w:r w:rsidRPr="009D211D">
        <w:rPr>
          <w:spacing w:val="0"/>
          <w:sz w:val="24"/>
          <w:szCs w:val="24"/>
        </w:rPr>
        <w:t xml:space="preserve"> – We put patients and our service users at the heart of everything we do. We're positive, kind and polite. We understand diversity. We're respectful, patient and tolerant.</w:t>
      </w:r>
    </w:p>
    <w:p w:rsidR="00762DA1" w:rsidRPr="009D211D" w:rsidRDefault="00762DA1" w:rsidP="009D211D">
      <w:pPr>
        <w:numPr>
          <w:ilvl w:val="0"/>
          <w:numId w:val="6"/>
        </w:numPr>
        <w:ind w:left="720"/>
        <w:jc w:val="left"/>
        <w:rPr>
          <w:spacing w:val="0"/>
          <w:sz w:val="24"/>
          <w:szCs w:val="24"/>
        </w:rPr>
      </w:pPr>
      <w:r w:rsidRPr="009D211D">
        <w:rPr>
          <w:b/>
          <w:spacing w:val="0"/>
          <w:sz w:val="24"/>
          <w:szCs w:val="24"/>
        </w:rPr>
        <w:t>Aspirational</w:t>
      </w:r>
      <w:r w:rsidRPr="009D211D">
        <w:rPr>
          <w:spacing w:val="0"/>
          <w:sz w:val="24"/>
          <w:szCs w:val="24"/>
        </w:rPr>
        <w:t xml:space="preserve"> – We feel empowered and we empower our patients. We strive to improve. Our focus is on research and generating ideas and innovations. We're open, transparent and we think creatively.</w:t>
      </w:r>
    </w:p>
    <w:p w:rsidR="00762DA1" w:rsidRPr="009D211D" w:rsidRDefault="00762DA1" w:rsidP="009D211D">
      <w:pPr>
        <w:numPr>
          <w:ilvl w:val="0"/>
          <w:numId w:val="6"/>
        </w:numPr>
        <w:ind w:left="720"/>
        <w:jc w:val="left"/>
        <w:rPr>
          <w:spacing w:val="0"/>
          <w:sz w:val="24"/>
          <w:szCs w:val="24"/>
        </w:rPr>
      </w:pPr>
      <w:r w:rsidRPr="009D211D">
        <w:rPr>
          <w:b/>
          <w:spacing w:val="0"/>
          <w:sz w:val="24"/>
          <w:szCs w:val="24"/>
        </w:rPr>
        <w:t>Responsive</w:t>
      </w:r>
      <w:r w:rsidRPr="009D211D">
        <w:rPr>
          <w:spacing w:val="0"/>
          <w:sz w:val="24"/>
          <w:szCs w:val="24"/>
        </w:rPr>
        <w:t xml:space="preserve"> – We listen. We act. We communicate clearly. We do what we say we will. We take account of other's opinions.</w:t>
      </w:r>
    </w:p>
    <w:p w:rsidR="00762DA1" w:rsidRPr="009D211D" w:rsidRDefault="00762DA1" w:rsidP="009D211D">
      <w:pPr>
        <w:numPr>
          <w:ilvl w:val="0"/>
          <w:numId w:val="6"/>
        </w:numPr>
        <w:ind w:left="720"/>
        <w:jc w:val="left"/>
        <w:rPr>
          <w:spacing w:val="0"/>
          <w:sz w:val="24"/>
          <w:szCs w:val="24"/>
        </w:rPr>
      </w:pPr>
      <w:r w:rsidRPr="009D211D">
        <w:rPr>
          <w:b/>
          <w:spacing w:val="0"/>
          <w:sz w:val="24"/>
          <w:szCs w:val="24"/>
        </w:rPr>
        <w:t>Excellent</w:t>
      </w:r>
      <w:r w:rsidRPr="009D211D">
        <w:rPr>
          <w:spacing w:val="0"/>
          <w:sz w:val="24"/>
          <w:szCs w:val="24"/>
        </w:rPr>
        <w:t xml:space="preserve"> – We strive to deliver the best care we can. We grow a culture of excellence in our teams. We challenge complacency</w:t>
      </w:r>
      <w:r w:rsidR="002D32B7" w:rsidRPr="009D211D">
        <w:rPr>
          <w:spacing w:val="0"/>
          <w:sz w:val="24"/>
          <w:szCs w:val="24"/>
        </w:rPr>
        <w:t>.</w:t>
      </w:r>
    </w:p>
    <w:p w:rsidR="002D32B7" w:rsidRPr="009D211D" w:rsidRDefault="002D32B7" w:rsidP="009D211D">
      <w:pPr>
        <w:jc w:val="left"/>
        <w:rPr>
          <w:sz w:val="24"/>
          <w:szCs w:val="24"/>
        </w:rPr>
      </w:pPr>
    </w:p>
    <w:p w:rsidR="002D32B7" w:rsidRPr="009D211D" w:rsidRDefault="002D32B7" w:rsidP="009D211D">
      <w:pPr>
        <w:numPr>
          <w:ilvl w:val="0"/>
          <w:numId w:val="2"/>
        </w:numPr>
        <w:jc w:val="left"/>
        <w:rPr>
          <w:b/>
          <w:spacing w:val="0"/>
          <w:sz w:val="24"/>
          <w:szCs w:val="24"/>
        </w:rPr>
      </w:pPr>
      <w:r w:rsidRPr="009D211D">
        <w:rPr>
          <w:b/>
          <w:spacing w:val="0"/>
          <w:sz w:val="24"/>
          <w:szCs w:val="24"/>
        </w:rPr>
        <w:t>Resource Analysis</w:t>
      </w:r>
    </w:p>
    <w:p w:rsidR="00C03EA0" w:rsidRPr="009D211D" w:rsidRDefault="00C03EA0" w:rsidP="009D211D">
      <w:pPr>
        <w:ind w:left="720"/>
        <w:jc w:val="left"/>
        <w:rPr>
          <w:b/>
          <w:spacing w:val="0"/>
          <w:sz w:val="24"/>
          <w:szCs w:val="24"/>
        </w:rPr>
      </w:pPr>
    </w:p>
    <w:p w:rsidR="00C03EA0" w:rsidRPr="009D211D" w:rsidRDefault="002D32B7" w:rsidP="009D211D">
      <w:pPr>
        <w:jc w:val="left"/>
        <w:rPr>
          <w:b/>
          <w:spacing w:val="0"/>
          <w:sz w:val="24"/>
          <w:szCs w:val="24"/>
        </w:rPr>
      </w:pPr>
      <w:r w:rsidRPr="009D211D">
        <w:rPr>
          <w:b/>
          <w:spacing w:val="0"/>
          <w:sz w:val="24"/>
          <w:szCs w:val="24"/>
        </w:rPr>
        <w:t xml:space="preserve">2.1 </w:t>
      </w:r>
      <w:r w:rsidR="00AA0849" w:rsidRPr="009D211D">
        <w:rPr>
          <w:b/>
          <w:spacing w:val="0"/>
          <w:sz w:val="24"/>
          <w:szCs w:val="24"/>
        </w:rPr>
        <w:t xml:space="preserve">     </w:t>
      </w:r>
      <w:r w:rsidRPr="009D211D">
        <w:rPr>
          <w:b/>
          <w:spacing w:val="0"/>
          <w:sz w:val="24"/>
          <w:szCs w:val="24"/>
        </w:rPr>
        <w:t>Background</w:t>
      </w:r>
    </w:p>
    <w:p w:rsidR="009D211D" w:rsidRDefault="002D32B7" w:rsidP="009D211D">
      <w:pPr>
        <w:jc w:val="left"/>
        <w:rPr>
          <w:sz w:val="24"/>
          <w:szCs w:val="24"/>
        </w:rPr>
      </w:pPr>
      <w:r w:rsidRPr="009D211D">
        <w:rPr>
          <w:sz w:val="24"/>
          <w:szCs w:val="24"/>
        </w:rPr>
        <w:t>PSIRF offers many ways to respond to an incident providing organisation with options to learn and improve from patient safety incident.</w:t>
      </w:r>
    </w:p>
    <w:p w:rsidR="009D211D" w:rsidRDefault="009D211D" w:rsidP="009D211D">
      <w:pPr>
        <w:jc w:val="left"/>
        <w:rPr>
          <w:sz w:val="24"/>
          <w:szCs w:val="24"/>
        </w:rPr>
      </w:pPr>
    </w:p>
    <w:p w:rsidR="009D211D" w:rsidRDefault="002D32B7" w:rsidP="009D211D">
      <w:pPr>
        <w:jc w:val="left"/>
        <w:rPr>
          <w:sz w:val="24"/>
          <w:szCs w:val="24"/>
        </w:rPr>
      </w:pPr>
      <w:r w:rsidRPr="009D211D">
        <w:rPr>
          <w:sz w:val="24"/>
          <w:szCs w:val="24"/>
        </w:rPr>
        <w:t xml:space="preserve">KCHFT incident management process supports techniques to identify areas of improvement, responding to concerns raised by patient, family or carer and implementing immediate safety actions. </w:t>
      </w:r>
    </w:p>
    <w:p w:rsidR="009D211D" w:rsidRDefault="009D211D" w:rsidP="009D211D">
      <w:pPr>
        <w:jc w:val="left"/>
        <w:rPr>
          <w:sz w:val="24"/>
          <w:szCs w:val="24"/>
        </w:rPr>
      </w:pPr>
    </w:p>
    <w:p w:rsidR="009D211D" w:rsidRDefault="002D32B7" w:rsidP="009D211D">
      <w:pPr>
        <w:jc w:val="left"/>
        <w:rPr>
          <w:sz w:val="24"/>
          <w:szCs w:val="24"/>
        </w:rPr>
      </w:pPr>
      <w:r w:rsidRPr="009D211D">
        <w:rPr>
          <w:sz w:val="24"/>
          <w:szCs w:val="24"/>
        </w:rPr>
        <w:t>A Patient Safety Incident Review (PSIR) meeting will help to determine the required learning response</w:t>
      </w:r>
      <w:r w:rsidR="00413E46" w:rsidRPr="009D211D">
        <w:rPr>
          <w:sz w:val="24"/>
          <w:szCs w:val="24"/>
        </w:rPr>
        <w:t xml:space="preserve"> (Step 1 of the incident management process)</w:t>
      </w:r>
      <w:r w:rsidRPr="009D211D">
        <w:rPr>
          <w:sz w:val="24"/>
          <w:szCs w:val="24"/>
        </w:rPr>
        <w:t>.</w:t>
      </w:r>
      <w:r w:rsidR="006419E9" w:rsidRPr="009D211D">
        <w:rPr>
          <w:sz w:val="24"/>
          <w:szCs w:val="24"/>
        </w:rPr>
        <w:t xml:space="preserve"> The panel attendees will include not only service representation but Patient Safety Specialist, </w:t>
      </w:r>
      <w:r w:rsidR="00B425E2" w:rsidRPr="009D211D">
        <w:rPr>
          <w:sz w:val="24"/>
          <w:szCs w:val="24"/>
        </w:rPr>
        <w:t>Patient</w:t>
      </w:r>
      <w:r w:rsidR="006419E9" w:rsidRPr="009D211D">
        <w:rPr>
          <w:sz w:val="24"/>
          <w:szCs w:val="24"/>
        </w:rPr>
        <w:t xml:space="preserve"> Safety team, Safeguarding, Assistant Director for Quality and Governance, </w:t>
      </w:r>
      <w:r w:rsidR="00122238">
        <w:rPr>
          <w:sz w:val="24"/>
          <w:szCs w:val="24"/>
        </w:rPr>
        <w:t xml:space="preserve">Chief </w:t>
      </w:r>
      <w:r w:rsidR="006419E9" w:rsidRPr="009D211D">
        <w:rPr>
          <w:sz w:val="24"/>
          <w:szCs w:val="24"/>
        </w:rPr>
        <w:t xml:space="preserve">Medical </w:t>
      </w:r>
      <w:r w:rsidR="00122238" w:rsidRPr="00122238">
        <w:rPr>
          <w:sz w:val="24"/>
          <w:szCs w:val="24"/>
        </w:rPr>
        <w:t>Officer</w:t>
      </w:r>
      <w:r w:rsidR="006419E9" w:rsidRPr="009D211D">
        <w:rPr>
          <w:sz w:val="24"/>
          <w:szCs w:val="24"/>
        </w:rPr>
        <w:t xml:space="preserve">, Chief </w:t>
      </w:r>
      <w:r w:rsidR="00E167A8" w:rsidRPr="00E167A8">
        <w:rPr>
          <w:sz w:val="24"/>
          <w:szCs w:val="24"/>
        </w:rPr>
        <w:t>Nursing Officer</w:t>
      </w:r>
      <w:r w:rsidR="006419E9" w:rsidRPr="009D211D">
        <w:rPr>
          <w:sz w:val="24"/>
          <w:szCs w:val="24"/>
        </w:rPr>
        <w:t xml:space="preserve"> or Deputies and other required specialist service to minimise the risk of bias.</w:t>
      </w:r>
    </w:p>
    <w:p w:rsidR="009D211D" w:rsidRDefault="009D211D" w:rsidP="009D211D">
      <w:pPr>
        <w:jc w:val="left"/>
        <w:rPr>
          <w:sz w:val="24"/>
          <w:szCs w:val="24"/>
        </w:rPr>
      </w:pPr>
    </w:p>
    <w:p w:rsidR="009D211D" w:rsidRDefault="002D32B7" w:rsidP="009D211D">
      <w:pPr>
        <w:jc w:val="left"/>
        <w:rPr>
          <w:sz w:val="24"/>
          <w:szCs w:val="24"/>
        </w:rPr>
      </w:pPr>
      <w:r w:rsidRPr="009D211D">
        <w:rPr>
          <w:sz w:val="24"/>
          <w:szCs w:val="24"/>
        </w:rPr>
        <w:t xml:space="preserve">Patient Safety Incident Investigations (PSIIs) will still be considered a learning response however, this type of response requires a longer timeframe to systemically identify circumstances surrounding incidents. </w:t>
      </w:r>
    </w:p>
    <w:p w:rsidR="009D211D" w:rsidRDefault="009D211D" w:rsidP="009D211D">
      <w:pPr>
        <w:jc w:val="left"/>
        <w:rPr>
          <w:sz w:val="24"/>
          <w:szCs w:val="24"/>
        </w:rPr>
      </w:pPr>
    </w:p>
    <w:p w:rsidR="009D211D" w:rsidRDefault="002D32B7" w:rsidP="009D211D">
      <w:pPr>
        <w:jc w:val="left"/>
        <w:rPr>
          <w:sz w:val="24"/>
          <w:szCs w:val="24"/>
        </w:rPr>
      </w:pPr>
      <w:r w:rsidRPr="009D211D">
        <w:rPr>
          <w:sz w:val="24"/>
          <w:szCs w:val="24"/>
        </w:rPr>
        <w:t xml:space="preserve">Some types of patient safety incidents have been identified as national priorities and require a specific response. </w:t>
      </w:r>
      <w:r w:rsidR="000B554B" w:rsidRPr="009D211D">
        <w:rPr>
          <w:sz w:val="24"/>
          <w:szCs w:val="24"/>
        </w:rPr>
        <w:t xml:space="preserve">Section 2.2 provides a </w:t>
      </w:r>
      <w:r w:rsidRPr="009D211D">
        <w:rPr>
          <w:sz w:val="24"/>
          <w:szCs w:val="24"/>
        </w:rPr>
        <w:t xml:space="preserve">list of national priorities, and what response is required to them. </w:t>
      </w:r>
    </w:p>
    <w:p w:rsidR="009D211D" w:rsidRDefault="009D211D" w:rsidP="009D211D">
      <w:pPr>
        <w:jc w:val="left"/>
        <w:rPr>
          <w:sz w:val="24"/>
          <w:szCs w:val="24"/>
        </w:rPr>
      </w:pPr>
    </w:p>
    <w:p w:rsidR="009D211D" w:rsidRDefault="002D32B7" w:rsidP="009D211D">
      <w:pPr>
        <w:jc w:val="left"/>
        <w:rPr>
          <w:sz w:val="24"/>
          <w:szCs w:val="24"/>
        </w:rPr>
      </w:pPr>
      <w:r w:rsidRPr="009D211D">
        <w:rPr>
          <w:sz w:val="24"/>
          <w:szCs w:val="24"/>
        </w:rPr>
        <w:t xml:space="preserve">All patient safety incidents where a learning response is undertaken will now meet the threshold for </w:t>
      </w:r>
      <w:hyperlink r:id="rId9" w:history="1">
        <w:r w:rsidR="001D5233" w:rsidRPr="009D211D">
          <w:rPr>
            <w:rStyle w:val="Hyperlink"/>
            <w:rFonts w:cs="Arial"/>
            <w:sz w:val="24"/>
            <w:szCs w:val="24"/>
          </w:rPr>
          <w:t>Duty of Candour</w:t>
        </w:r>
      </w:hyperlink>
      <w:r w:rsidRPr="009D211D">
        <w:rPr>
          <w:sz w:val="24"/>
          <w:szCs w:val="24"/>
        </w:rPr>
        <w:t xml:space="preserve">. </w:t>
      </w:r>
    </w:p>
    <w:p w:rsidR="009D211D" w:rsidRDefault="009D211D" w:rsidP="009D211D">
      <w:pPr>
        <w:jc w:val="left"/>
        <w:rPr>
          <w:sz w:val="24"/>
          <w:szCs w:val="24"/>
        </w:rPr>
      </w:pPr>
    </w:p>
    <w:p w:rsidR="002D32B7" w:rsidRPr="009D211D" w:rsidRDefault="002D32B7" w:rsidP="009D211D">
      <w:pPr>
        <w:jc w:val="left"/>
        <w:rPr>
          <w:b/>
          <w:spacing w:val="0"/>
          <w:sz w:val="24"/>
          <w:szCs w:val="24"/>
        </w:rPr>
      </w:pPr>
      <w:r w:rsidRPr="009D211D">
        <w:rPr>
          <w:sz w:val="24"/>
          <w:szCs w:val="24"/>
        </w:rPr>
        <w:t xml:space="preserve">Understanding our capacity to respond to incidents enables us to be strategic in proactively allocating resources to responding to patient safety incidents that are not included in the list of national priorities. </w:t>
      </w:r>
    </w:p>
    <w:p w:rsidR="002D32B7" w:rsidRPr="009D211D" w:rsidRDefault="002D32B7" w:rsidP="009D211D">
      <w:pPr>
        <w:pStyle w:val="heading20"/>
        <w:jc w:val="left"/>
        <w:rPr>
          <w:sz w:val="24"/>
          <w:szCs w:val="24"/>
        </w:rPr>
      </w:pPr>
      <w:r w:rsidRPr="009D211D">
        <w:rPr>
          <w:sz w:val="24"/>
          <w:szCs w:val="24"/>
        </w:rPr>
        <w:lastRenderedPageBreak/>
        <w:t>The below section outlines our analysis of how we will respond to key risks that falls outside national priorities.</w:t>
      </w:r>
    </w:p>
    <w:p w:rsidR="002D32B7" w:rsidRPr="009D211D" w:rsidRDefault="002D32B7" w:rsidP="009D211D">
      <w:pPr>
        <w:pStyle w:val="heading20"/>
        <w:jc w:val="left"/>
        <w:rPr>
          <w:sz w:val="24"/>
          <w:szCs w:val="24"/>
        </w:rPr>
      </w:pPr>
      <w:bookmarkStart w:id="9" w:name="_Toc177183172"/>
    </w:p>
    <w:p w:rsidR="002D32B7" w:rsidRPr="009D211D" w:rsidRDefault="002D32B7" w:rsidP="009D211D">
      <w:pPr>
        <w:pStyle w:val="heading20"/>
        <w:numPr>
          <w:ilvl w:val="1"/>
          <w:numId w:val="7"/>
        </w:numPr>
        <w:jc w:val="left"/>
        <w:rPr>
          <w:b/>
          <w:sz w:val="24"/>
          <w:szCs w:val="24"/>
        </w:rPr>
      </w:pPr>
      <w:r w:rsidRPr="009D211D">
        <w:rPr>
          <w:sz w:val="24"/>
          <w:szCs w:val="24"/>
        </w:rPr>
        <w:t xml:space="preserve">  </w:t>
      </w:r>
      <w:r w:rsidRPr="009D211D">
        <w:rPr>
          <w:b/>
          <w:sz w:val="24"/>
          <w:szCs w:val="24"/>
        </w:rPr>
        <w:t>Overview of patient Safety Incident Activity</w:t>
      </w:r>
    </w:p>
    <w:p w:rsidR="002D32B7" w:rsidRPr="009D211D" w:rsidRDefault="002D32B7" w:rsidP="009D211D">
      <w:pPr>
        <w:pStyle w:val="heading20"/>
        <w:jc w:val="left"/>
        <w:rPr>
          <w:sz w:val="24"/>
          <w:szCs w:val="24"/>
        </w:rPr>
      </w:pPr>
    </w:p>
    <w:p w:rsidR="002D32B7" w:rsidRPr="009D211D" w:rsidRDefault="002D32B7" w:rsidP="009D211D">
      <w:pPr>
        <w:pStyle w:val="heading20"/>
        <w:jc w:val="left"/>
        <w:rPr>
          <w:sz w:val="24"/>
          <w:szCs w:val="24"/>
        </w:rPr>
      </w:pPr>
      <w:r w:rsidRPr="009D211D">
        <w:rPr>
          <w:sz w:val="24"/>
          <w:szCs w:val="24"/>
        </w:rPr>
        <w:t>A data review of KCHFT Incident Management System (Datix) and other specialist teams information systems was initially conducted for incidents reported between April 2021 and December 2022. However, following advice from early adopters the timeline was reviewed and the period of January 202</w:t>
      </w:r>
      <w:r w:rsidR="0060598B" w:rsidRPr="009D211D">
        <w:rPr>
          <w:sz w:val="24"/>
          <w:szCs w:val="24"/>
        </w:rPr>
        <w:t>0</w:t>
      </w:r>
      <w:r w:rsidRPr="009D211D">
        <w:rPr>
          <w:sz w:val="24"/>
          <w:szCs w:val="24"/>
        </w:rPr>
        <w:t xml:space="preserve"> and December 2022 was used to establish organisational data the number of incidents reviewed within the categories listed below. The table below shows data gathered:</w:t>
      </w:r>
    </w:p>
    <w:p w:rsidR="002D32B7" w:rsidRPr="009D211D" w:rsidRDefault="002D32B7" w:rsidP="009D211D">
      <w:pPr>
        <w:pStyle w:val="heading20"/>
        <w:jc w:val="left"/>
        <w:rPr>
          <w:sz w:val="24"/>
          <w:szCs w:val="24"/>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5075"/>
        <w:gridCol w:w="1701"/>
      </w:tblGrid>
      <w:tr w:rsidR="002D32B7" w:rsidRPr="009D211D" w:rsidTr="00792BEA">
        <w:tc>
          <w:tcPr>
            <w:tcW w:w="2580" w:type="dxa"/>
            <w:shd w:val="clear" w:color="auto" w:fill="0070C0"/>
          </w:tcPr>
          <w:p w:rsidR="002D32B7" w:rsidRPr="009D211D" w:rsidRDefault="002D32B7" w:rsidP="009D211D">
            <w:pPr>
              <w:jc w:val="left"/>
              <w:rPr>
                <w:b/>
                <w:color w:val="FFFFFF"/>
                <w:sz w:val="24"/>
                <w:szCs w:val="24"/>
              </w:rPr>
            </w:pPr>
            <w:r w:rsidRPr="009D211D">
              <w:rPr>
                <w:b/>
                <w:color w:val="FFFFFF"/>
                <w:sz w:val="24"/>
                <w:szCs w:val="24"/>
              </w:rPr>
              <w:t>Response type</w:t>
            </w:r>
          </w:p>
        </w:tc>
        <w:tc>
          <w:tcPr>
            <w:tcW w:w="5075" w:type="dxa"/>
            <w:shd w:val="clear" w:color="auto" w:fill="0070C0"/>
          </w:tcPr>
          <w:p w:rsidR="002D32B7" w:rsidRPr="009D211D" w:rsidRDefault="002D32B7" w:rsidP="009D211D">
            <w:pPr>
              <w:jc w:val="left"/>
              <w:rPr>
                <w:b/>
                <w:color w:val="FFFFFF"/>
                <w:sz w:val="24"/>
                <w:szCs w:val="24"/>
              </w:rPr>
            </w:pPr>
            <w:r w:rsidRPr="009D211D">
              <w:rPr>
                <w:b/>
                <w:color w:val="FFFFFF"/>
                <w:sz w:val="24"/>
                <w:szCs w:val="24"/>
              </w:rPr>
              <w:t>Category</w:t>
            </w:r>
          </w:p>
        </w:tc>
        <w:tc>
          <w:tcPr>
            <w:tcW w:w="1701" w:type="dxa"/>
            <w:shd w:val="clear" w:color="auto" w:fill="0070C0"/>
          </w:tcPr>
          <w:p w:rsidR="002D32B7" w:rsidRPr="009D211D" w:rsidRDefault="002D32B7" w:rsidP="009D211D">
            <w:pPr>
              <w:jc w:val="left"/>
              <w:rPr>
                <w:b/>
                <w:color w:val="FFFFFF"/>
                <w:sz w:val="24"/>
                <w:szCs w:val="24"/>
              </w:rPr>
            </w:pPr>
            <w:r w:rsidRPr="009D211D">
              <w:rPr>
                <w:b/>
                <w:color w:val="FFFFFF"/>
                <w:sz w:val="24"/>
                <w:szCs w:val="24"/>
              </w:rPr>
              <w:t>Reviews/ responses</w:t>
            </w:r>
          </w:p>
        </w:tc>
      </w:tr>
      <w:tr w:rsidR="002D32B7" w:rsidRPr="009D211D" w:rsidTr="00792BEA">
        <w:tc>
          <w:tcPr>
            <w:tcW w:w="2580" w:type="dxa"/>
            <w:vMerge w:val="restart"/>
            <w:shd w:val="clear" w:color="auto" w:fill="D9E2F3"/>
          </w:tcPr>
          <w:tbl>
            <w:tblPr>
              <w:tblW w:w="0" w:type="auto"/>
              <w:tblBorders>
                <w:top w:val="nil"/>
                <w:left w:val="nil"/>
                <w:bottom w:val="nil"/>
                <w:right w:val="nil"/>
              </w:tblBorders>
              <w:tblLook w:val="0000" w:firstRow="0" w:lastRow="0" w:firstColumn="0" w:lastColumn="0" w:noHBand="0" w:noVBand="0"/>
            </w:tblPr>
            <w:tblGrid>
              <w:gridCol w:w="2364"/>
            </w:tblGrid>
            <w:tr w:rsidR="002D32B7" w:rsidRPr="009D211D" w:rsidTr="002B647B">
              <w:trPr>
                <w:trHeight w:val="669"/>
              </w:trPr>
              <w:tc>
                <w:tcPr>
                  <w:tcW w:w="0" w:type="auto"/>
                </w:tcPr>
                <w:p w:rsidR="002D32B7" w:rsidRPr="009D211D" w:rsidRDefault="002D32B7" w:rsidP="009D211D">
                  <w:pPr>
                    <w:jc w:val="left"/>
                    <w:rPr>
                      <w:color w:val="0070C0"/>
                      <w:sz w:val="24"/>
                      <w:szCs w:val="24"/>
                    </w:rPr>
                  </w:pPr>
                  <w:r w:rsidRPr="009D211D">
                    <w:rPr>
                      <w:sz w:val="24"/>
                      <w:szCs w:val="24"/>
                    </w:rPr>
                    <w:t xml:space="preserve">National priorities requiring patient safety incident investigation </w:t>
                  </w:r>
                </w:p>
              </w:tc>
            </w:tr>
          </w:tbl>
          <w:p w:rsidR="002D32B7" w:rsidRPr="009D211D" w:rsidRDefault="002D32B7" w:rsidP="009D211D">
            <w:pPr>
              <w:jc w:val="left"/>
              <w:rPr>
                <w:color w:val="0070C0"/>
                <w:sz w:val="24"/>
                <w:szCs w:val="24"/>
              </w:rPr>
            </w:pPr>
          </w:p>
          <w:p w:rsidR="00D22C42" w:rsidRPr="009D211D" w:rsidRDefault="00D22C42" w:rsidP="009D211D">
            <w:pPr>
              <w:jc w:val="left"/>
              <w:rPr>
                <w:color w:val="0070C0"/>
                <w:sz w:val="24"/>
                <w:szCs w:val="24"/>
              </w:rPr>
            </w:pPr>
          </w:p>
          <w:p w:rsidR="00D22C42" w:rsidRPr="009D211D" w:rsidRDefault="00D22C42" w:rsidP="009D211D">
            <w:pPr>
              <w:jc w:val="left"/>
              <w:rPr>
                <w:color w:val="0070C0"/>
                <w:sz w:val="24"/>
                <w:szCs w:val="24"/>
              </w:rPr>
            </w:pPr>
          </w:p>
          <w:p w:rsidR="00D22C42" w:rsidRPr="009D211D" w:rsidRDefault="00D22C42" w:rsidP="009D211D">
            <w:pPr>
              <w:jc w:val="left"/>
              <w:rPr>
                <w:color w:val="0070C0"/>
                <w:sz w:val="24"/>
                <w:szCs w:val="24"/>
              </w:rPr>
            </w:pPr>
          </w:p>
          <w:p w:rsidR="00D22C42" w:rsidRPr="009D211D" w:rsidRDefault="00D22C42" w:rsidP="009D211D">
            <w:pPr>
              <w:jc w:val="left"/>
              <w:rPr>
                <w:color w:val="0070C0"/>
                <w:sz w:val="24"/>
                <w:szCs w:val="24"/>
              </w:rPr>
            </w:pPr>
          </w:p>
          <w:p w:rsidR="00D22C42" w:rsidRPr="009D211D" w:rsidRDefault="00D22C42" w:rsidP="009D211D">
            <w:pPr>
              <w:jc w:val="left"/>
              <w:rPr>
                <w:color w:val="0070C0"/>
                <w:sz w:val="24"/>
                <w:szCs w:val="24"/>
              </w:rPr>
            </w:pPr>
          </w:p>
          <w:p w:rsidR="00D22C42" w:rsidRPr="009D211D" w:rsidRDefault="00D22C42" w:rsidP="009D211D">
            <w:pPr>
              <w:jc w:val="left"/>
              <w:rPr>
                <w:color w:val="0070C0"/>
                <w:sz w:val="24"/>
                <w:szCs w:val="24"/>
              </w:rPr>
            </w:pPr>
          </w:p>
          <w:p w:rsidR="00D22C42" w:rsidRPr="009D211D" w:rsidRDefault="00D22C42" w:rsidP="009D211D">
            <w:pPr>
              <w:jc w:val="left"/>
              <w:rPr>
                <w:color w:val="0070C0"/>
                <w:sz w:val="24"/>
                <w:szCs w:val="24"/>
              </w:rPr>
            </w:pPr>
          </w:p>
          <w:p w:rsidR="00D22C42" w:rsidRPr="009D211D" w:rsidRDefault="00D22C42" w:rsidP="009D211D">
            <w:pPr>
              <w:jc w:val="left"/>
              <w:rPr>
                <w:color w:val="0070C0"/>
                <w:sz w:val="24"/>
                <w:szCs w:val="24"/>
              </w:rPr>
            </w:pPr>
          </w:p>
          <w:p w:rsidR="00D22C42" w:rsidRPr="009D211D" w:rsidRDefault="00D22C42" w:rsidP="009D211D">
            <w:pPr>
              <w:jc w:val="left"/>
              <w:rPr>
                <w:color w:val="0070C0"/>
                <w:sz w:val="24"/>
                <w:szCs w:val="24"/>
              </w:rPr>
            </w:pPr>
          </w:p>
          <w:p w:rsidR="00D22C42" w:rsidRPr="009D211D" w:rsidRDefault="00D22C42" w:rsidP="009D211D">
            <w:pPr>
              <w:jc w:val="left"/>
              <w:rPr>
                <w:color w:val="0070C0"/>
                <w:sz w:val="24"/>
                <w:szCs w:val="24"/>
              </w:rPr>
            </w:pPr>
          </w:p>
          <w:p w:rsidR="00D22C42" w:rsidRPr="009D211D" w:rsidRDefault="00D22C42" w:rsidP="009D211D">
            <w:pPr>
              <w:jc w:val="left"/>
              <w:rPr>
                <w:color w:val="0070C0"/>
                <w:sz w:val="24"/>
                <w:szCs w:val="24"/>
              </w:rPr>
            </w:pPr>
          </w:p>
          <w:p w:rsidR="00D22C42" w:rsidRPr="009D211D" w:rsidRDefault="00D22C42" w:rsidP="009D211D">
            <w:pPr>
              <w:jc w:val="left"/>
              <w:rPr>
                <w:color w:val="0070C0"/>
                <w:sz w:val="24"/>
                <w:szCs w:val="24"/>
              </w:rPr>
            </w:pPr>
          </w:p>
          <w:p w:rsidR="00D22C42" w:rsidRPr="009D211D" w:rsidRDefault="00D22C42" w:rsidP="009D211D">
            <w:pPr>
              <w:jc w:val="left"/>
              <w:rPr>
                <w:color w:val="0070C0"/>
                <w:sz w:val="24"/>
                <w:szCs w:val="24"/>
              </w:rPr>
            </w:pPr>
          </w:p>
          <w:p w:rsidR="00D22C42" w:rsidRPr="009D211D" w:rsidRDefault="00D22C42" w:rsidP="009D211D">
            <w:pPr>
              <w:jc w:val="left"/>
              <w:rPr>
                <w:color w:val="0070C0"/>
                <w:sz w:val="24"/>
                <w:szCs w:val="24"/>
              </w:rPr>
            </w:pPr>
          </w:p>
        </w:tc>
        <w:tc>
          <w:tcPr>
            <w:tcW w:w="5075" w:type="dxa"/>
            <w:shd w:val="clear" w:color="auto" w:fill="D9E2F3"/>
          </w:tcPr>
          <w:p w:rsidR="002D32B7" w:rsidRPr="009D211D" w:rsidRDefault="002D32B7" w:rsidP="009D211D">
            <w:pPr>
              <w:jc w:val="left"/>
              <w:rPr>
                <w:sz w:val="24"/>
                <w:szCs w:val="24"/>
              </w:rPr>
            </w:pPr>
            <w:r w:rsidRPr="009D211D">
              <w:rPr>
                <w:sz w:val="24"/>
                <w:szCs w:val="24"/>
              </w:rPr>
              <w:t>Never Events</w:t>
            </w:r>
          </w:p>
        </w:tc>
        <w:tc>
          <w:tcPr>
            <w:tcW w:w="1701" w:type="dxa"/>
            <w:shd w:val="clear" w:color="auto" w:fill="D9E2F3"/>
          </w:tcPr>
          <w:p w:rsidR="002D32B7" w:rsidRPr="009D211D" w:rsidRDefault="002D32B7" w:rsidP="009D211D">
            <w:pPr>
              <w:jc w:val="left"/>
              <w:rPr>
                <w:sz w:val="24"/>
                <w:szCs w:val="24"/>
              </w:rPr>
            </w:pPr>
            <w:r w:rsidRPr="009D211D">
              <w:rPr>
                <w:sz w:val="24"/>
                <w:szCs w:val="24"/>
              </w:rPr>
              <w:t>0</w:t>
            </w:r>
          </w:p>
        </w:tc>
      </w:tr>
      <w:tr w:rsidR="002D32B7" w:rsidRPr="009D211D" w:rsidTr="00792BEA">
        <w:tc>
          <w:tcPr>
            <w:tcW w:w="2580" w:type="dxa"/>
            <w:vMerge/>
            <w:shd w:val="clear" w:color="auto" w:fill="auto"/>
          </w:tcPr>
          <w:p w:rsidR="002D32B7" w:rsidRPr="009D211D" w:rsidRDefault="002D32B7" w:rsidP="009D211D">
            <w:pPr>
              <w:jc w:val="left"/>
              <w:rPr>
                <w:color w:val="0070C0"/>
                <w:sz w:val="24"/>
                <w:szCs w:val="24"/>
              </w:rPr>
            </w:pPr>
          </w:p>
        </w:tc>
        <w:tc>
          <w:tcPr>
            <w:tcW w:w="5075" w:type="dxa"/>
            <w:shd w:val="clear" w:color="auto" w:fill="auto"/>
          </w:tcPr>
          <w:p w:rsidR="002D32B7" w:rsidRPr="009D211D" w:rsidRDefault="002D32B7" w:rsidP="009D211D">
            <w:pPr>
              <w:jc w:val="left"/>
              <w:rPr>
                <w:sz w:val="24"/>
                <w:szCs w:val="24"/>
              </w:rPr>
            </w:pPr>
            <w:r w:rsidRPr="009D211D">
              <w:rPr>
                <w:sz w:val="24"/>
                <w:szCs w:val="24"/>
              </w:rPr>
              <w:t>Mortality Reviews (including Structured Judgement Reviews)</w:t>
            </w:r>
          </w:p>
        </w:tc>
        <w:tc>
          <w:tcPr>
            <w:tcW w:w="1701" w:type="dxa"/>
            <w:shd w:val="clear" w:color="auto" w:fill="auto"/>
          </w:tcPr>
          <w:p w:rsidR="002D32B7" w:rsidRPr="009D211D" w:rsidRDefault="002D32B7" w:rsidP="009D211D">
            <w:pPr>
              <w:jc w:val="left"/>
              <w:rPr>
                <w:sz w:val="24"/>
                <w:szCs w:val="24"/>
              </w:rPr>
            </w:pPr>
            <w:r w:rsidRPr="009D211D">
              <w:rPr>
                <w:sz w:val="24"/>
                <w:szCs w:val="24"/>
              </w:rPr>
              <w:t>105</w:t>
            </w:r>
          </w:p>
        </w:tc>
      </w:tr>
      <w:tr w:rsidR="002D32B7" w:rsidRPr="009D211D" w:rsidTr="00792BEA">
        <w:tc>
          <w:tcPr>
            <w:tcW w:w="2580" w:type="dxa"/>
            <w:vMerge/>
            <w:shd w:val="clear" w:color="auto" w:fill="auto"/>
          </w:tcPr>
          <w:p w:rsidR="002D32B7" w:rsidRPr="009D211D" w:rsidRDefault="002D32B7" w:rsidP="009D211D">
            <w:pPr>
              <w:jc w:val="left"/>
              <w:rPr>
                <w:color w:val="0070C0"/>
                <w:sz w:val="24"/>
                <w:szCs w:val="24"/>
              </w:rPr>
            </w:pPr>
          </w:p>
        </w:tc>
        <w:tc>
          <w:tcPr>
            <w:tcW w:w="5075" w:type="dxa"/>
            <w:shd w:val="clear" w:color="auto" w:fill="D9E2F3"/>
          </w:tcPr>
          <w:p w:rsidR="002D32B7" w:rsidRPr="009D211D" w:rsidRDefault="002D32B7" w:rsidP="009D211D">
            <w:pPr>
              <w:jc w:val="left"/>
              <w:rPr>
                <w:sz w:val="24"/>
                <w:szCs w:val="24"/>
              </w:rPr>
            </w:pPr>
            <w:r w:rsidRPr="009D211D">
              <w:rPr>
                <w:sz w:val="24"/>
                <w:szCs w:val="24"/>
              </w:rPr>
              <w:t>LeDeR (Deaths of persons with learning disabilities)</w:t>
            </w:r>
          </w:p>
        </w:tc>
        <w:tc>
          <w:tcPr>
            <w:tcW w:w="1701" w:type="dxa"/>
            <w:shd w:val="clear" w:color="auto" w:fill="D9E2F3"/>
          </w:tcPr>
          <w:p w:rsidR="002D32B7" w:rsidRPr="009D211D" w:rsidRDefault="00BC5751" w:rsidP="009D211D">
            <w:pPr>
              <w:jc w:val="left"/>
              <w:rPr>
                <w:sz w:val="24"/>
                <w:szCs w:val="24"/>
                <w:highlight w:val="yellow"/>
              </w:rPr>
            </w:pPr>
            <w:r w:rsidRPr="009D211D">
              <w:rPr>
                <w:sz w:val="24"/>
                <w:szCs w:val="24"/>
              </w:rPr>
              <w:t>85</w:t>
            </w:r>
          </w:p>
        </w:tc>
      </w:tr>
      <w:tr w:rsidR="002D32B7" w:rsidRPr="009D211D" w:rsidTr="00792BEA">
        <w:tc>
          <w:tcPr>
            <w:tcW w:w="2580" w:type="dxa"/>
            <w:vMerge/>
            <w:shd w:val="clear" w:color="auto" w:fill="auto"/>
          </w:tcPr>
          <w:p w:rsidR="002D32B7" w:rsidRPr="009D211D" w:rsidRDefault="002D32B7" w:rsidP="009D211D">
            <w:pPr>
              <w:jc w:val="left"/>
              <w:rPr>
                <w:color w:val="0070C0"/>
                <w:sz w:val="24"/>
                <w:szCs w:val="24"/>
              </w:rPr>
            </w:pPr>
          </w:p>
        </w:tc>
        <w:tc>
          <w:tcPr>
            <w:tcW w:w="5075" w:type="dxa"/>
            <w:shd w:val="clear" w:color="auto" w:fill="auto"/>
          </w:tcPr>
          <w:p w:rsidR="002D32B7" w:rsidRPr="009D211D" w:rsidRDefault="002D32B7" w:rsidP="009D211D">
            <w:pPr>
              <w:pStyle w:val="Default"/>
              <w:rPr>
                <w:b/>
              </w:rPr>
            </w:pPr>
            <w:r w:rsidRPr="009D211D">
              <w:rPr>
                <w:b/>
              </w:rPr>
              <w:t xml:space="preserve">Adult Safeguarding incident reviews </w:t>
            </w:r>
          </w:p>
          <w:p w:rsidR="002D32B7" w:rsidRPr="009D211D" w:rsidRDefault="002D32B7" w:rsidP="009D211D">
            <w:pPr>
              <w:pStyle w:val="Default"/>
              <w:ind w:left="720"/>
            </w:pPr>
            <w:r w:rsidRPr="009D211D">
              <w:t xml:space="preserve">Safeguarding Provider Enquiry Reports </w:t>
            </w:r>
          </w:p>
          <w:p w:rsidR="002D32B7" w:rsidRPr="009D211D" w:rsidRDefault="002D32B7" w:rsidP="009D211D">
            <w:pPr>
              <w:pStyle w:val="Default"/>
              <w:ind w:left="720"/>
            </w:pPr>
            <w:r w:rsidRPr="009D211D">
              <w:t xml:space="preserve">Independent Enquiry Reports </w:t>
            </w:r>
          </w:p>
          <w:p w:rsidR="002D32B7" w:rsidRPr="009D211D" w:rsidRDefault="002D32B7" w:rsidP="009D211D">
            <w:pPr>
              <w:pStyle w:val="Default"/>
              <w:ind w:left="720"/>
            </w:pPr>
            <w:r w:rsidRPr="009D211D">
              <w:t xml:space="preserve">Serious Adult Case Reviews </w:t>
            </w:r>
          </w:p>
          <w:p w:rsidR="00790B8F" w:rsidRPr="009D211D" w:rsidRDefault="00790B8F" w:rsidP="009D211D">
            <w:pPr>
              <w:pStyle w:val="Default"/>
              <w:ind w:left="720"/>
            </w:pPr>
            <w:r w:rsidRPr="009D211D">
              <w:t>Adult Summary of involvement (SOI)</w:t>
            </w:r>
          </w:p>
          <w:p w:rsidR="002D32B7" w:rsidRPr="009D211D" w:rsidRDefault="002D32B7" w:rsidP="009D211D">
            <w:pPr>
              <w:pStyle w:val="Default"/>
              <w:ind w:left="720"/>
            </w:pPr>
            <w:r w:rsidRPr="009D211D">
              <w:t xml:space="preserve">Domestic Homicide Reviews </w:t>
            </w:r>
          </w:p>
          <w:p w:rsidR="002D32B7" w:rsidRPr="009D211D" w:rsidRDefault="002D32B7" w:rsidP="009D211D">
            <w:pPr>
              <w:pStyle w:val="Default"/>
              <w:ind w:left="720"/>
            </w:pPr>
            <w:r w:rsidRPr="009D211D">
              <w:t xml:space="preserve">Joint Statutory Reviews </w:t>
            </w:r>
          </w:p>
          <w:p w:rsidR="00C34DF2" w:rsidRPr="009D211D" w:rsidRDefault="00C34DF2" w:rsidP="009D211D">
            <w:pPr>
              <w:pStyle w:val="Default"/>
              <w:rPr>
                <w:b/>
              </w:rPr>
            </w:pPr>
          </w:p>
          <w:p w:rsidR="002D32B7" w:rsidRPr="009D211D" w:rsidRDefault="002D32B7" w:rsidP="009D211D">
            <w:pPr>
              <w:pStyle w:val="Default"/>
              <w:rPr>
                <w:b/>
              </w:rPr>
            </w:pPr>
            <w:r w:rsidRPr="009D211D">
              <w:rPr>
                <w:b/>
              </w:rPr>
              <w:t xml:space="preserve">Children’s Safeguarding incident reviews </w:t>
            </w:r>
          </w:p>
          <w:p w:rsidR="002D32B7" w:rsidRPr="009D211D" w:rsidRDefault="002D32B7" w:rsidP="009D211D">
            <w:pPr>
              <w:pStyle w:val="Default"/>
              <w:ind w:left="720"/>
            </w:pPr>
            <w:r w:rsidRPr="009D211D">
              <w:t xml:space="preserve">Child Safeguarding Practice Reviews </w:t>
            </w:r>
          </w:p>
          <w:p w:rsidR="00790B8F" w:rsidRPr="009D211D" w:rsidRDefault="00790B8F" w:rsidP="009D211D">
            <w:pPr>
              <w:ind w:left="720"/>
              <w:jc w:val="left"/>
              <w:rPr>
                <w:sz w:val="24"/>
                <w:szCs w:val="24"/>
              </w:rPr>
            </w:pPr>
            <w:r w:rsidRPr="009D211D">
              <w:rPr>
                <w:sz w:val="24"/>
                <w:szCs w:val="24"/>
              </w:rPr>
              <w:t>Child Rapid review</w:t>
            </w:r>
          </w:p>
          <w:p w:rsidR="002D32B7" w:rsidRPr="009D211D" w:rsidRDefault="002D32B7" w:rsidP="009D211D">
            <w:pPr>
              <w:ind w:left="720"/>
              <w:jc w:val="left"/>
              <w:rPr>
                <w:sz w:val="24"/>
                <w:szCs w:val="24"/>
              </w:rPr>
            </w:pPr>
            <w:r w:rsidRPr="009D211D">
              <w:rPr>
                <w:sz w:val="24"/>
                <w:szCs w:val="24"/>
              </w:rPr>
              <w:t xml:space="preserve">Domestic Homicide Reviews </w:t>
            </w:r>
          </w:p>
          <w:p w:rsidR="00D22C42" w:rsidRPr="009D211D" w:rsidRDefault="00D22C42" w:rsidP="009D211D">
            <w:pPr>
              <w:ind w:left="720"/>
              <w:jc w:val="left"/>
              <w:rPr>
                <w:sz w:val="24"/>
                <w:szCs w:val="24"/>
              </w:rPr>
            </w:pPr>
          </w:p>
        </w:tc>
        <w:tc>
          <w:tcPr>
            <w:tcW w:w="1701" w:type="dxa"/>
            <w:shd w:val="clear" w:color="auto" w:fill="auto"/>
          </w:tcPr>
          <w:p w:rsidR="002D32B7" w:rsidRPr="009D211D" w:rsidRDefault="002D32B7" w:rsidP="009D211D">
            <w:pPr>
              <w:jc w:val="left"/>
              <w:rPr>
                <w:sz w:val="24"/>
                <w:szCs w:val="24"/>
              </w:rPr>
            </w:pPr>
          </w:p>
          <w:p w:rsidR="00790B8F" w:rsidRPr="009D211D" w:rsidRDefault="00790B8F" w:rsidP="009D211D">
            <w:pPr>
              <w:jc w:val="left"/>
              <w:rPr>
                <w:sz w:val="24"/>
                <w:szCs w:val="24"/>
              </w:rPr>
            </w:pPr>
            <w:r w:rsidRPr="009D211D">
              <w:rPr>
                <w:sz w:val="24"/>
                <w:szCs w:val="24"/>
              </w:rPr>
              <w:t>80</w:t>
            </w:r>
          </w:p>
          <w:p w:rsidR="00790B8F" w:rsidRPr="009D211D" w:rsidRDefault="00790B8F" w:rsidP="009D211D">
            <w:pPr>
              <w:jc w:val="left"/>
              <w:rPr>
                <w:sz w:val="24"/>
                <w:szCs w:val="24"/>
              </w:rPr>
            </w:pPr>
            <w:r w:rsidRPr="009D211D">
              <w:rPr>
                <w:sz w:val="24"/>
                <w:szCs w:val="24"/>
              </w:rPr>
              <w:t>0</w:t>
            </w:r>
          </w:p>
          <w:p w:rsidR="00790B8F" w:rsidRPr="009D211D" w:rsidRDefault="00790B8F" w:rsidP="009D211D">
            <w:pPr>
              <w:jc w:val="left"/>
              <w:rPr>
                <w:sz w:val="24"/>
                <w:szCs w:val="24"/>
              </w:rPr>
            </w:pPr>
            <w:r w:rsidRPr="009D211D">
              <w:rPr>
                <w:sz w:val="24"/>
                <w:szCs w:val="24"/>
              </w:rPr>
              <w:t>9</w:t>
            </w:r>
          </w:p>
          <w:p w:rsidR="00790B8F" w:rsidRPr="009D211D" w:rsidRDefault="00790B8F" w:rsidP="009D211D">
            <w:pPr>
              <w:jc w:val="left"/>
              <w:rPr>
                <w:sz w:val="24"/>
                <w:szCs w:val="24"/>
              </w:rPr>
            </w:pPr>
            <w:r w:rsidRPr="009D211D">
              <w:rPr>
                <w:sz w:val="24"/>
                <w:szCs w:val="24"/>
              </w:rPr>
              <w:t>27</w:t>
            </w:r>
          </w:p>
          <w:p w:rsidR="00790B8F" w:rsidRPr="009D211D" w:rsidRDefault="00790B8F" w:rsidP="009D211D">
            <w:pPr>
              <w:jc w:val="left"/>
              <w:rPr>
                <w:sz w:val="24"/>
                <w:szCs w:val="24"/>
              </w:rPr>
            </w:pPr>
            <w:r w:rsidRPr="009D211D">
              <w:rPr>
                <w:sz w:val="24"/>
                <w:szCs w:val="24"/>
              </w:rPr>
              <w:t>1</w:t>
            </w:r>
          </w:p>
          <w:p w:rsidR="00790B8F" w:rsidRPr="009D211D" w:rsidRDefault="00C34DF2" w:rsidP="009D211D">
            <w:pPr>
              <w:jc w:val="left"/>
              <w:rPr>
                <w:sz w:val="24"/>
                <w:szCs w:val="24"/>
              </w:rPr>
            </w:pPr>
            <w:r w:rsidRPr="009D211D">
              <w:rPr>
                <w:sz w:val="24"/>
                <w:szCs w:val="24"/>
              </w:rPr>
              <w:t>None that did not include the above</w:t>
            </w:r>
          </w:p>
          <w:p w:rsidR="00790B8F" w:rsidRPr="009D211D" w:rsidRDefault="00790B8F" w:rsidP="009D211D">
            <w:pPr>
              <w:jc w:val="left"/>
              <w:rPr>
                <w:sz w:val="24"/>
                <w:szCs w:val="24"/>
              </w:rPr>
            </w:pPr>
            <w:r w:rsidRPr="009D211D">
              <w:rPr>
                <w:sz w:val="24"/>
                <w:szCs w:val="24"/>
              </w:rPr>
              <w:t>6</w:t>
            </w:r>
          </w:p>
          <w:p w:rsidR="00790B8F" w:rsidRPr="009D211D" w:rsidRDefault="00790B8F" w:rsidP="009D211D">
            <w:pPr>
              <w:jc w:val="left"/>
              <w:rPr>
                <w:sz w:val="24"/>
                <w:szCs w:val="24"/>
              </w:rPr>
            </w:pPr>
            <w:r w:rsidRPr="009D211D">
              <w:rPr>
                <w:sz w:val="24"/>
                <w:szCs w:val="24"/>
              </w:rPr>
              <w:t>19</w:t>
            </w:r>
          </w:p>
          <w:p w:rsidR="00790B8F" w:rsidRPr="009D211D" w:rsidRDefault="00790B8F" w:rsidP="009D211D">
            <w:pPr>
              <w:jc w:val="left"/>
              <w:rPr>
                <w:sz w:val="24"/>
                <w:szCs w:val="24"/>
              </w:rPr>
            </w:pPr>
            <w:r w:rsidRPr="009D211D">
              <w:rPr>
                <w:sz w:val="24"/>
                <w:szCs w:val="24"/>
              </w:rPr>
              <w:t>5</w:t>
            </w:r>
          </w:p>
        </w:tc>
      </w:tr>
      <w:tr w:rsidR="0093784C" w:rsidRPr="009D211D" w:rsidTr="00792BEA">
        <w:trPr>
          <w:trHeight w:val="305"/>
        </w:trPr>
        <w:tc>
          <w:tcPr>
            <w:tcW w:w="2580" w:type="dxa"/>
            <w:vMerge w:val="restart"/>
            <w:shd w:val="clear" w:color="auto" w:fill="auto"/>
          </w:tcPr>
          <w:p w:rsidR="0093784C" w:rsidRPr="009D211D" w:rsidRDefault="0093784C" w:rsidP="009D211D">
            <w:pPr>
              <w:jc w:val="left"/>
              <w:rPr>
                <w:color w:val="0070C0"/>
                <w:sz w:val="24"/>
                <w:szCs w:val="24"/>
              </w:rPr>
            </w:pPr>
            <w:r w:rsidRPr="009D211D">
              <w:rPr>
                <w:sz w:val="24"/>
                <w:szCs w:val="24"/>
              </w:rPr>
              <w:t xml:space="preserve">Claims and Inquest </w:t>
            </w:r>
          </w:p>
        </w:tc>
        <w:tc>
          <w:tcPr>
            <w:tcW w:w="5075" w:type="dxa"/>
            <w:shd w:val="clear" w:color="auto" w:fill="auto"/>
          </w:tcPr>
          <w:p w:rsidR="0093784C" w:rsidRPr="009D211D" w:rsidRDefault="0093784C" w:rsidP="009D211D">
            <w:pPr>
              <w:jc w:val="left"/>
              <w:rPr>
                <w:sz w:val="24"/>
                <w:szCs w:val="24"/>
              </w:rPr>
            </w:pPr>
            <w:r w:rsidRPr="009D211D">
              <w:rPr>
                <w:sz w:val="24"/>
                <w:szCs w:val="24"/>
              </w:rPr>
              <w:t>Open Claims</w:t>
            </w:r>
          </w:p>
        </w:tc>
        <w:tc>
          <w:tcPr>
            <w:tcW w:w="1701" w:type="dxa"/>
            <w:shd w:val="clear" w:color="auto" w:fill="auto"/>
          </w:tcPr>
          <w:p w:rsidR="0093784C" w:rsidRPr="009D211D" w:rsidRDefault="0093784C" w:rsidP="009D211D">
            <w:pPr>
              <w:jc w:val="left"/>
              <w:rPr>
                <w:sz w:val="24"/>
                <w:szCs w:val="24"/>
              </w:rPr>
            </w:pPr>
            <w:r w:rsidRPr="009D211D">
              <w:rPr>
                <w:sz w:val="24"/>
                <w:szCs w:val="24"/>
              </w:rPr>
              <w:t>32</w:t>
            </w:r>
          </w:p>
        </w:tc>
      </w:tr>
      <w:tr w:rsidR="0093784C" w:rsidRPr="009D211D" w:rsidTr="00792BEA">
        <w:trPr>
          <w:trHeight w:val="168"/>
        </w:trPr>
        <w:tc>
          <w:tcPr>
            <w:tcW w:w="2580" w:type="dxa"/>
            <w:vMerge/>
            <w:shd w:val="clear" w:color="auto" w:fill="auto"/>
          </w:tcPr>
          <w:p w:rsidR="0093784C" w:rsidRPr="009D211D" w:rsidRDefault="0093784C" w:rsidP="009D211D">
            <w:pPr>
              <w:jc w:val="left"/>
              <w:rPr>
                <w:sz w:val="24"/>
                <w:szCs w:val="24"/>
              </w:rPr>
            </w:pPr>
          </w:p>
        </w:tc>
        <w:tc>
          <w:tcPr>
            <w:tcW w:w="5075" w:type="dxa"/>
            <w:shd w:val="clear" w:color="auto" w:fill="auto"/>
          </w:tcPr>
          <w:p w:rsidR="0093784C" w:rsidRPr="009D211D" w:rsidRDefault="0093784C" w:rsidP="009D211D">
            <w:pPr>
              <w:jc w:val="left"/>
              <w:rPr>
                <w:sz w:val="24"/>
                <w:szCs w:val="24"/>
              </w:rPr>
            </w:pPr>
            <w:r w:rsidRPr="009D211D">
              <w:rPr>
                <w:sz w:val="24"/>
                <w:szCs w:val="24"/>
              </w:rPr>
              <w:t>Closed Claims</w:t>
            </w:r>
          </w:p>
        </w:tc>
        <w:tc>
          <w:tcPr>
            <w:tcW w:w="1701" w:type="dxa"/>
            <w:shd w:val="clear" w:color="auto" w:fill="auto"/>
          </w:tcPr>
          <w:p w:rsidR="0093784C" w:rsidRPr="009D211D" w:rsidRDefault="0093784C" w:rsidP="009D211D">
            <w:pPr>
              <w:jc w:val="left"/>
              <w:rPr>
                <w:sz w:val="24"/>
                <w:szCs w:val="24"/>
              </w:rPr>
            </w:pPr>
            <w:r w:rsidRPr="009D211D">
              <w:rPr>
                <w:sz w:val="24"/>
                <w:szCs w:val="24"/>
              </w:rPr>
              <w:t>71</w:t>
            </w:r>
          </w:p>
        </w:tc>
      </w:tr>
      <w:tr w:rsidR="0093784C" w:rsidRPr="009D211D" w:rsidTr="00792BEA">
        <w:trPr>
          <w:trHeight w:val="274"/>
        </w:trPr>
        <w:tc>
          <w:tcPr>
            <w:tcW w:w="2580" w:type="dxa"/>
            <w:vMerge/>
            <w:shd w:val="clear" w:color="auto" w:fill="auto"/>
          </w:tcPr>
          <w:p w:rsidR="0093784C" w:rsidRPr="009D211D" w:rsidRDefault="0093784C" w:rsidP="009D211D">
            <w:pPr>
              <w:jc w:val="left"/>
              <w:rPr>
                <w:sz w:val="24"/>
                <w:szCs w:val="24"/>
              </w:rPr>
            </w:pPr>
          </w:p>
        </w:tc>
        <w:tc>
          <w:tcPr>
            <w:tcW w:w="5075" w:type="dxa"/>
            <w:shd w:val="clear" w:color="auto" w:fill="auto"/>
          </w:tcPr>
          <w:p w:rsidR="0093784C" w:rsidRPr="009D211D" w:rsidRDefault="0093784C" w:rsidP="009D211D">
            <w:pPr>
              <w:jc w:val="left"/>
              <w:rPr>
                <w:sz w:val="24"/>
                <w:szCs w:val="24"/>
              </w:rPr>
            </w:pPr>
            <w:r w:rsidRPr="009D211D">
              <w:rPr>
                <w:sz w:val="24"/>
                <w:szCs w:val="24"/>
              </w:rPr>
              <w:t>Inquest open</w:t>
            </w:r>
          </w:p>
        </w:tc>
        <w:tc>
          <w:tcPr>
            <w:tcW w:w="1701" w:type="dxa"/>
            <w:shd w:val="clear" w:color="auto" w:fill="auto"/>
          </w:tcPr>
          <w:p w:rsidR="0093784C" w:rsidRPr="009D211D" w:rsidRDefault="0093784C" w:rsidP="009D211D">
            <w:pPr>
              <w:jc w:val="left"/>
              <w:rPr>
                <w:sz w:val="24"/>
                <w:szCs w:val="24"/>
              </w:rPr>
            </w:pPr>
            <w:r w:rsidRPr="009D211D">
              <w:rPr>
                <w:sz w:val="24"/>
                <w:szCs w:val="24"/>
              </w:rPr>
              <w:t>90</w:t>
            </w:r>
          </w:p>
        </w:tc>
      </w:tr>
      <w:tr w:rsidR="0093784C" w:rsidRPr="009D211D" w:rsidTr="00792BEA">
        <w:tc>
          <w:tcPr>
            <w:tcW w:w="2580" w:type="dxa"/>
            <w:vMerge/>
            <w:shd w:val="clear" w:color="auto" w:fill="auto"/>
          </w:tcPr>
          <w:p w:rsidR="0093784C" w:rsidRPr="009D211D" w:rsidRDefault="0093784C" w:rsidP="009D211D">
            <w:pPr>
              <w:jc w:val="left"/>
              <w:rPr>
                <w:color w:val="0070C0"/>
                <w:sz w:val="24"/>
                <w:szCs w:val="24"/>
              </w:rPr>
            </w:pPr>
          </w:p>
        </w:tc>
        <w:tc>
          <w:tcPr>
            <w:tcW w:w="5075" w:type="dxa"/>
            <w:shd w:val="clear" w:color="auto" w:fill="auto"/>
          </w:tcPr>
          <w:p w:rsidR="0093784C" w:rsidRPr="009D211D" w:rsidRDefault="0093784C" w:rsidP="009D211D">
            <w:pPr>
              <w:jc w:val="left"/>
              <w:rPr>
                <w:sz w:val="24"/>
                <w:szCs w:val="24"/>
              </w:rPr>
            </w:pPr>
            <w:r w:rsidRPr="009D211D">
              <w:rPr>
                <w:sz w:val="24"/>
                <w:szCs w:val="24"/>
              </w:rPr>
              <w:t>Inquest closed</w:t>
            </w:r>
          </w:p>
        </w:tc>
        <w:tc>
          <w:tcPr>
            <w:tcW w:w="1701" w:type="dxa"/>
            <w:shd w:val="clear" w:color="auto" w:fill="auto"/>
          </w:tcPr>
          <w:p w:rsidR="0093784C" w:rsidRPr="009D211D" w:rsidRDefault="0093784C" w:rsidP="009D211D">
            <w:pPr>
              <w:jc w:val="left"/>
              <w:rPr>
                <w:sz w:val="24"/>
                <w:szCs w:val="24"/>
              </w:rPr>
            </w:pPr>
            <w:r w:rsidRPr="009D211D">
              <w:rPr>
                <w:sz w:val="24"/>
                <w:szCs w:val="24"/>
              </w:rPr>
              <w:t>101</w:t>
            </w:r>
          </w:p>
        </w:tc>
      </w:tr>
      <w:tr w:rsidR="0093784C" w:rsidRPr="009D211D" w:rsidTr="00792BEA">
        <w:tc>
          <w:tcPr>
            <w:tcW w:w="2580" w:type="dxa"/>
            <w:vMerge w:val="restart"/>
            <w:shd w:val="clear" w:color="auto" w:fill="D9E2F3"/>
          </w:tcPr>
          <w:p w:rsidR="0093784C" w:rsidRPr="009D211D" w:rsidRDefault="0093784C" w:rsidP="009D211D">
            <w:pPr>
              <w:jc w:val="left"/>
              <w:rPr>
                <w:color w:val="0070C0"/>
                <w:sz w:val="24"/>
                <w:szCs w:val="24"/>
              </w:rPr>
            </w:pPr>
            <w:r w:rsidRPr="009D211D">
              <w:rPr>
                <w:sz w:val="24"/>
                <w:szCs w:val="24"/>
              </w:rPr>
              <w:t xml:space="preserve">Complaints </w:t>
            </w:r>
          </w:p>
        </w:tc>
        <w:tc>
          <w:tcPr>
            <w:tcW w:w="5075" w:type="dxa"/>
            <w:shd w:val="clear" w:color="auto" w:fill="D9E2F3"/>
          </w:tcPr>
          <w:p w:rsidR="0093784C" w:rsidRPr="009D211D" w:rsidRDefault="0093784C" w:rsidP="009D211D">
            <w:pPr>
              <w:jc w:val="left"/>
              <w:rPr>
                <w:sz w:val="24"/>
                <w:szCs w:val="24"/>
              </w:rPr>
            </w:pPr>
            <w:r w:rsidRPr="009D211D">
              <w:rPr>
                <w:sz w:val="24"/>
                <w:szCs w:val="24"/>
              </w:rPr>
              <w:t xml:space="preserve">Open Complaints </w:t>
            </w:r>
          </w:p>
        </w:tc>
        <w:tc>
          <w:tcPr>
            <w:tcW w:w="1701" w:type="dxa"/>
            <w:shd w:val="clear" w:color="auto" w:fill="D9E2F3"/>
          </w:tcPr>
          <w:p w:rsidR="0093784C" w:rsidRPr="009D211D" w:rsidRDefault="0093784C" w:rsidP="009D211D">
            <w:pPr>
              <w:jc w:val="left"/>
              <w:rPr>
                <w:sz w:val="24"/>
                <w:szCs w:val="24"/>
              </w:rPr>
            </w:pPr>
            <w:r w:rsidRPr="009D211D">
              <w:rPr>
                <w:sz w:val="24"/>
                <w:szCs w:val="24"/>
              </w:rPr>
              <w:t>1177</w:t>
            </w:r>
          </w:p>
        </w:tc>
      </w:tr>
      <w:tr w:rsidR="0093784C" w:rsidRPr="009D211D" w:rsidTr="00792BEA">
        <w:tc>
          <w:tcPr>
            <w:tcW w:w="2580" w:type="dxa"/>
            <w:vMerge/>
            <w:shd w:val="clear" w:color="auto" w:fill="auto"/>
          </w:tcPr>
          <w:p w:rsidR="0093784C" w:rsidRPr="009D211D" w:rsidRDefault="0093784C" w:rsidP="009D211D">
            <w:pPr>
              <w:jc w:val="left"/>
              <w:rPr>
                <w:color w:val="0070C0"/>
                <w:sz w:val="24"/>
                <w:szCs w:val="24"/>
              </w:rPr>
            </w:pPr>
          </w:p>
        </w:tc>
        <w:tc>
          <w:tcPr>
            <w:tcW w:w="5075" w:type="dxa"/>
            <w:shd w:val="clear" w:color="auto" w:fill="auto"/>
          </w:tcPr>
          <w:p w:rsidR="0093784C" w:rsidRPr="009D211D" w:rsidRDefault="0093784C" w:rsidP="009D211D">
            <w:pPr>
              <w:jc w:val="left"/>
              <w:rPr>
                <w:sz w:val="24"/>
                <w:szCs w:val="24"/>
              </w:rPr>
            </w:pPr>
            <w:r w:rsidRPr="009D211D">
              <w:rPr>
                <w:sz w:val="24"/>
                <w:szCs w:val="24"/>
              </w:rPr>
              <w:t>Closed Complaints</w:t>
            </w:r>
          </w:p>
        </w:tc>
        <w:tc>
          <w:tcPr>
            <w:tcW w:w="1701" w:type="dxa"/>
            <w:shd w:val="clear" w:color="auto" w:fill="auto"/>
          </w:tcPr>
          <w:p w:rsidR="0093784C" w:rsidRPr="009D211D" w:rsidRDefault="0093784C" w:rsidP="009D211D">
            <w:pPr>
              <w:jc w:val="left"/>
              <w:rPr>
                <w:sz w:val="24"/>
                <w:szCs w:val="24"/>
              </w:rPr>
            </w:pPr>
            <w:r w:rsidRPr="009D211D">
              <w:rPr>
                <w:sz w:val="24"/>
                <w:szCs w:val="24"/>
              </w:rPr>
              <w:t>1193</w:t>
            </w:r>
          </w:p>
        </w:tc>
      </w:tr>
      <w:tr w:rsidR="0093784C" w:rsidRPr="009D211D" w:rsidTr="00792BEA">
        <w:tc>
          <w:tcPr>
            <w:tcW w:w="2580" w:type="dxa"/>
            <w:vMerge w:val="restart"/>
            <w:shd w:val="clear" w:color="auto" w:fill="auto"/>
          </w:tcPr>
          <w:p w:rsidR="0093784C" w:rsidRPr="009D211D" w:rsidRDefault="0093784C" w:rsidP="009D211D">
            <w:pPr>
              <w:jc w:val="left"/>
              <w:rPr>
                <w:sz w:val="24"/>
                <w:szCs w:val="24"/>
              </w:rPr>
            </w:pPr>
            <w:r w:rsidRPr="009D211D">
              <w:rPr>
                <w:sz w:val="24"/>
                <w:szCs w:val="24"/>
              </w:rPr>
              <w:t>Learning responses including PSII and AAR</w:t>
            </w:r>
          </w:p>
          <w:p w:rsidR="0093784C" w:rsidRPr="009D211D" w:rsidRDefault="0093784C" w:rsidP="009D211D">
            <w:pPr>
              <w:jc w:val="left"/>
              <w:rPr>
                <w:color w:val="0070C0"/>
                <w:sz w:val="24"/>
                <w:szCs w:val="24"/>
              </w:rPr>
            </w:pPr>
          </w:p>
          <w:p w:rsidR="0093784C" w:rsidRPr="009D211D" w:rsidRDefault="0093784C" w:rsidP="009D211D">
            <w:pPr>
              <w:jc w:val="left"/>
              <w:rPr>
                <w:color w:val="0070C0"/>
                <w:sz w:val="24"/>
                <w:szCs w:val="24"/>
              </w:rPr>
            </w:pPr>
          </w:p>
          <w:p w:rsidR="0093784C" w:rsidRPr="009D211D" w:rsidRDefault="0093784C" w:rsidP="009D211D">
            <w:pPr>
              <w:jc w:val="left"/>
              <w:rPr>
                <w:color w:val="0070C0"/>
                <w:sz w:val="24"/>
                <w:szCs w:val="24"/>
              </w:rPr>
            </w:pPr>
          </w:p>
        </w:tc>
        <w:tc>
          <w:tcPr>
            <w:tcW w:w="5075" w:type="dxa"/>
            <w:shd w:val="clear" w:color="auto" w:fill="auto"/>
          </w:tcPr>
          <w:p w:rsidR="0093784C" w:rsidRPr="009D211D" w:rsidRDefault="0093784C" w:rsidP="009D211D">
            <w:pPr>
              <w:jc w:val="left"/>
              <w:rPr>
                <w:sz w:val="24"/>
                <w:szCs w:val="24"/>
              </w:rPr>
            </w:pPr>
            <w:r w:rsidRPr="009D211D">
              <w:rPr>
                <w:sz w:val="24"/>
                <w:szCs w:val="24"/>
              </w:rPr>
              <w:t xml:space="preserve">Serious Incident investigations (Investigations under the current NHS Serious Incident Framework and reported to StEIS) </w:t>
            </w:r>
          </w:p>
        </w:tc>
        <w:tc>
          <w:tcPr>
            <w:tcW w:w="1701" w:type="dxa"/>
            <w:shd w:val="clear" w:color="auto" w:fill="auto"/>
          </w:tcPr>
          <w:p w:rsidR="0093784C" w:rsidRPr="009D211D" w:rsidRDefault="0093784C" w:rsidP="009D211D">
            <w:pPr>
              <w:jc w:val="left"/>
              <w:rPr>
                <w:sz w:val="24"/>
                <w:szCs w:val="24"/>
              </w:rPr>
            </w:pPr>
            <w:r w:rsidRPr="009D211D">
              <w:rPr>
                <w:sz w:val="24"/>
                <w:szCs w:val="24"/>
              </w:rPr>
              <w:t>8</w:t>
            </w:r>
          </w:p>
        </w:tc>
      </w:tr>
      <w:tr w:rsidR="0093784C" w:rsidRPr="009D211D" w:rsidTr="00792BEA">
        <w:tc>
          <w:tcPr>
            <w:tcW w:w="2580" w:type="dxa"/>
            <w:vMerge/>
            <w:shd w:val="clear" w:color="auto" w:fill="auto"/>
          </w:tcPr>
          <w:p w:rsidR="0093784C" w:rsidRPr="009D211D" w:rsidRDefault="0093784C" w:rsidP="009D211D">
            <w:pPr>
              <w:jc w:val="left"/>
              <w:rPr>
                <w:color w:val="0070C0"/>
                <w:sz w:val="24"/>
                <w:szCs w:val="24"/>
              </w:rPr>
            </w:pPr>
          </w:p>
        </w:tc>
        <w:tc>
          <w:tcPr>
            <w:tcW w:w="5075" w:type="dxa"/>
            <w:shd w:val="clear" w:color="auto" w:fill="auto"/>
          </w:tcPr>
          <w:p w:rsidR="0093784C" w:rsidRPr="009D211D" w:rsidRDefault="0093784C" w:rsidP="009D211D">
            <w:pPr>
              <w:jc w:val="left"/>
              <w:rPr>
                <w:sz w:val="24"/>
                <w:szCs w:val="24"/>
              </w:rPr>
            </w:pPr>
            <w:r w:rsidRPr="009D211D">
              <w:rPr>
                <w:sz w:val="24"/>
                <w:szCs w:val="24"/>
              </w:rPr>
              <w:t>Incident investigations utilising a systems framework for review such as AAR process</w:t>
            </w:r>
          </w:p>
          <w:p w:rsidR="0093784C" w:rsidRPr="009D211D" w:rsidRDefault="0093784C" w:rsidP="009D211D">
            <w:pPr>
              <w:jc w:val="left"/>
              <w:rPr>
                <w:sz w:val="24"/>
                <w:szCs w:val="24"/>
              </w:rPr>
            </w:pPr>
          </w:p>
        </w:tc>
        <w:tc>
          <w:tcPr>
            <w:tcW w:w="1701" w:type="dxa"/>
            <w:shd w:val="clear" w:color="auto" w:fill="auto"/>
          </w:tcPr>
          <w:p w:rsidR="0093784C" w:rsidRPr="009D211D" w:rsidRDefault="0093784C" w:rsidP="009D211D">
            <w:pPr>
              <w:jc w:val="left"/>
              <w:rPr>
                <w:sz w:val="24"/>
                <w:szCs w:val="24"/>
              </w:rPr>
            </w:pPr>
            <w:r w:rsidRPr="009D211D">
              <w:rPr>
                <w:sz w:val="24"/>
                <w:szCs w:val="24"/>
              </w:rPr>
              <w:t>24</w:t>
            </w:r>
          </w:p>
        </w:tc>
      </w:tr>
      <w:tr w:rsidR="0093784C" w:rsidRPr="009D211D" w:rsidTr="00792BEA">
        <w:tc>
          <w:tcPr>
            <w:tcW w:w="2580" w:type="dxa"/>
            <w:vMerge w:val="restart"/>
            <w:shd w:val="clear" w:color="auto" w:fill="D9E2F3"/>
          </w:tcPr>
          <w:p w:rsidR="0093784C" w:rsidRPr="009D211D" w:rsidRDefault="0093784C" w:rsidP="009D211D">
            <w:pPr>
              <w:jc w:val="left"/>
              <w:rPr>
                <w:color w:val="0070C0"/>
                <w:sz w:val="24"/>
                <w:szCs w:val="24"/>
              </w:rPr>
            </w:pPr>
            <w:bookmarkStart w:id="10" w:name="_Hlk135307775"/>
            <w:r w:rsidRPr="009D211D">
              <w:rPr>
                <w:sz w:val="24"/>
                <w:szCs w:val="24"/>
              </w:rPr>
              <w:t>Patient Safety Incident Reviews</w:t>
            </w:r>
          </w:p>
          <w:p w:rsidR="0093784C" w:rsidRPr="009D211D" w:rsidRDefault="0093784C" w:rsidP="009D211D">
            <w:pPr>
              <w:jc w:val="left"/>
              <w:rPr>
                <w:color w:val="0070C0"/>
                <w:sz w:val="24"/>
                <w:szCs w:val="24"/>
              </w:rPr>
            </w:pPr>
          </w:p>
        </w:tc>
        <w:tc>
          <w:tcPr>
            <w:tcW w:w="5075" w:type="dxa"/>
            <w:shd w:val="clear" w:color="auto" w:fill="D9E2F3"/>
          </w:tcPr>
          <w:p w:rsidR="0093784C" w:rsidRPr="009D211D" w:rsidRDefault="0093784C" w:rsidP="009D211D">
            <w:pPr>
              <w:jc w:val="left"/>
              <w:rPr>
                <w:sz w:val="24"/>
                <w:szCs w:val="24"/>
              </w:rPr>
            </w:pPr>
            <w:r w:rsidRPr="009D211D">
              <w:rPr>
                <w:sz w:val="24"/>
                <w:szCs w:val="24"/>
              </w:rPr>
              <w:t>PSIR meetings held following Datix notifications</w:t>
            </w:r>
          </w:p>
        </w:tc>
        <w:tc>
          <w:tcPr>
            <w:tcW w:w="1701" w:type="dxa"/>
            <w:shd w:val="clear" w:color="auto" w:fill="D9E2F3"/>
          </w:tcPr>
          <w:p w:rsidR="0093784C" w:rsidRPr="009D211D" w:rsidRDefault="0093784C" w:rsidP="009D211D">
            <w:pPr>
              <w:jc w:val="left"/>
              <w:rPr>
                <w:sz w:val="24"/>
                <w:szCs w:val="24"/>
              </w:rPr>
            </w:pPr>
            <w:r w:rsidRPr="009D211D">
              <w:rPr>
                <w:sz w:val="24"/>
                <w:szCs w:val="24"/>
              </w:rPr>
              <w:t>109</w:t>
            </w:r>
          </w:p>
        </w:tc>
      </w:tr>
      <w:bookmarkEnd w:id="10"/>
      <w:tr w:rsidR="0093784C" w:rsidRPr="009D211D" w:rsidTr="00792BEA">
        <w:tc>
          <w:tcPr>
            <w:tcW w:w="2580" w:type="dxa"/>
            <w:vMerge/>
            <w:shd w:val="clear" w:color="auto" w:fill="D9E2F3"/>
          </w:tcPr>
          <w:p w:rsidR="0093784C" w:rsidRPr="009D211D" w:rsidRDefault="0093784C" w:rsidP="009D211D">
            <w:pPr>
              <w:jc w:val="left"/>
              <w:rPr>
                <w:color w:val="0070C0"/>
                <w:sz w:val="24"/>
                <w:szCs w:val="24"/>
              </w:rPr>
            </w:pPr>
          </w:p>
        </w:tc>
        <w:tc>
          <w:tcPr>
            <w:tcW w:w="5075" w:type="dxa"/>
            <w:shd w:val="clear" w:color="auto" w:fill="auto"/>
          </w:tcPr>
          <w:p w:rsidR="0093784C" w:rsidRPr="009D211D" w:rsidRDefault="0093784C" w:rsidP="009D211D">
            <w:pPr>
              <w:jc w:val="left"/>
              <w:rPr>
                <w:sz w:val="24"/>
                <w:szCs w:val="24"/>
              </w:rPr>
            </w:pPr>
            <w:r w:rsidRPr="009D211D">
              <w:rPr>
                <w:sz w:val="24"/>
                <w:szCs w:val="24"/>
              </w:rPr>
              <w:t>Complaint-initiated PSIR</w:t>
            </w:r>
          </w:p>
        </w:tc>
        <w:tc>
          <w:tcPr>
            <w:tcW w:w="1701" w:type="dxa"/>
            <w:shd w:val="clear" w:color="auto" w:fill="auto"/>
          </w:tcPr>
          <w:p w:rsidR="0093784C" w:rsidRPr="009D211D" w:rsidRDefault="0093784C" w:rsidP="009D211D">
            <w:pPr>
              <w:jc w:val="left"/>
              <w:rPr>
                <w:sz w:val="24"/>
                <w:szCs w:val="24"/>
              </w:rPr>
            </w:pPr>
            <w:r w:rsidRPr="009D211D">
              <w:rPr>
                <w:sz w:val="24"/>
                <w:szCs w:val="24"/>
              </w:rPr>
              <w:t>52</w:t>
            </w:r>
          </w:p>
        </w:tc>
      </w:tr>
      <w:tr w:rsidR="0093784C" w:rsidRPr="009D211D" w:rsidTr="00792BEA">
        <w:tc>
          <w:tcPr>
            <w:tcW w:w="2580" w:type="dxa"/>
            <w:vMerge/>
            <w:shd w:val="clear" w:color="auto" w:fill="D9E2F3"/>
          </w:tcPr>
          <w:p w:rsidR="0093784C" w:rsidRPr="009D211D" w:rsidRDefault="0093784C" w:rsidP="009D211D">
            <w:pPr>
              <w:jc w:val="left"/>
              <w:rPr>
                <w:color w:val="0070C0"/>
                <w:sz w:val="24"/>
                <w:szCs w:val="24"/>
              </w:rPr>
            </w:pPr>
          </w:p>
        </w:tc>
        <w:tc>
          <w:tcPr>
            <w:tcW w:w="5075" w:type="dxa"/>
            <w:shd w:val="clear" w:color="auto" w:fill="D9E2F3"/>
          </w:tcPr>
          <w:p w:rsidR="0093784C" w:rsidRPr="009D211D" w:rsidRDefault="0093784C" w:rsidP="009D211D">
            <w:pPr>
              <w:jc w:val="left"/>
              <w:rPr>
                <w:sz w:val="24"/>
                <w:szCs w:val="24"/>
              </w:rPr>
            </w:pPr>
            <w:r w:rsidRPr="009D211D">
              <w:rPr>
                <w:sz w:val="24"/>
                <w:szCs w:val="24"/>
              </w:rPr>
              <w:t xml:space="preserve">Moderate harm and above Incidents reviewed by Patient Safety team </w:t>
            </w:r>
          </w:p>
        </w:tc>
        <w:tc>
          <w:tcPr>
            <w:tcW w:w="1701" w:type="dxa"/>
            <w:shd w:val="clear" w:color="auto" w:fill="D9E2F3"/>
          </w:tcPr>
          <w:p w:rsidR="0093784C" w:rsidRPr="009D211D" w:rsidRDefault="0093784C" w:rsidP="009D211D">
            <w:pPr>
              <w:jc w:val="left"/>
              <w:rPr>
                <w:sz w:val="24"/>
                <w:szCs w:val="24"/>
              </w:rPr>
            </w:pPr>
            <w:r w:rsidRPr="009D211D">
              <w:rPr>
                <w:sz w:val="24"/>
                <w:szCs w:val="24"/>
              </w:rPr>
              <w:t>715</w:t>
            </w:r>
          </w:p>
        </w:tc>
      </w:tr>
    </w:tbl>
    <w:p w:rsidR="00B75006" w:rsidRPr="009D211D" w:rsidRDefault="00B75006" w:rsidP="009D211D">
      <w:pPr>
        <w:spacing w:before="240"/>
        <w:jc w:val="left"/>
        <w:rPr>
          <w:sz w:val="24"/>
          <w:szCs w:val="24"/>
        </w:rPr>
      </w:pPr>
      <w:r w:rsidRPr="00455CCC">
        <w:rPr>
          <w:sz w:val="24"/>
          <w:szCs w:val="24"/>
        </w:rPr>
        <w:lastRenderedPageBreak/>
        <w:t>Other categories of incidents were reviewed including near misses, no harm and harm</w:t>
      </w:r>
      <w:r w:rsidR="00A2232D" w:rsidRPr="00455CCC">
        <w:rPr>
          <w:sz w:val="24"/>
          <w:szCs w:val="24"/>
        </w:rPr>
        <w:t xml:space="preserve"> as part of this safety profile</w:t>
      </w:r>
      <w:r w:rsidRPr="00455CCC">
        <w:rPr>
          <w:sz w:val="24"/>
          <w:szCs w:val="24"/>
        </w:rPr>
        <w:t>.</w:t>
      </w:r>
      <w:r w:rsidR="00A2232D" w:rsidRPr="00455CCC">
        <w:rPr>
          <w:sz w:val="24"/>
          <w:szCs w:val="24"/>
        </w:rPr>
        <w:t xml:space="preserve"> The near miss and no harm incident reviews have generated improvement work such as reducing incidents where visits were missed.</w:t>
      </w:r>
      <w:r w:rsidR="00A2232D" w:rsidRPr="009D211D">
        <w:rPr>
          <w:sz w:val="24"/>
          <w:szCs w:val="24"/>
        </w:rPr>
        <w:t xml:space="preserve"> </w:t>
      </w:r>
    </w:p>
    <w:p w:rsidR="00AA0849" w:rsidRPr="009D211D" w:rsidRDefault="00AA0849" w:rsidP="009D211D">
      <w:pPr>
        <w:spacing w:before="240"/>
        <w:jc w:val="left"/>
        <w:rPr>
          <w:sz w:val="24"/>
          <w:szCs w:val="24"/>
        </w:rPr>
      </w:pPr>
      <w:r w:rsidRPr="009D211D">
        <w:rPr>
          <w:sz w:val="24"/>
          <w:szCs w:val="24"/>
        </w:rPr>
        <w:t xml:space="preserve">In the years ahead, the trust will continue seek data and insight from stakeholders via triangulation of themes to inform potential future categories for patient safety incident investigation and system improvement. </w:t>
      </w:r>
    </w:p>
    <w:p w:rsidR="002D32B7" w:rsidRPr="009D211D" w:rsidRDefault="00AA0849" w:rsidP="009D211D">
      <w:pPr>
        <w:numPr>
          <w:ilvl w:val="1"/>
          <w:numId w:val="7"/>
        </w:numPr>
        <w:spacing w:before="240"/>
        <w:jc w:val="left"/>
        <w:rPr>
          <w:b/>
          <w:sz w:val="24"/>
          <w:szCs w:val="24"/>
        </w:rPr>
      </w:pPr>
      <w:r w:rsidRPr="009D211D">
        <w:rPr>
          <w:b/>
          <w:sz w:val="24"/>
          <w:szCs w:val="24"/>
        </w:rPr>
        <w:t>Patient safety incident response- gap analysis</w:t>
      </w:r>
    </w:p>
    <w:p w:rsidR="00AA0849" w:rsidRPr="009D211D" w:rsidRDefault="00AA0849" w:rsidP="009D211D">
      <w:pPr>
        <w:spacing w:before="240"/>
        <w:jc w:val="left"/>
        <w:rPr>
          <w:sz w:val="24"/>
          <w:szCs w:val="24"/>
        </w:rPr>
      </w:pPr>
      <w:r w:rsidRPr="009D211D">
        <w:rPr>
          <w:sz w:val="24"/>
          <w:szCs w:val="24"/>
        </w:rPr>
        <w:t xml:space="preserve">The Serious Incident Framework and associated activities formed part of the review led by the Head of Patient Safety and the Patient Safety Team alongside the National standards for patient safety investigation to help with the analysis of PSIRF in ensuring learning responses being compliant with these standards. </w:t>
      </w:r>
    </w:p>
    <w:p w:rsidR="00AA0849" w:rsidRPr="009D211D" w:rsidRDefault="00AA0849" w:rsidP="009D211D">
      <w:pPr>
        <w:spacing w:before="240"/>
        <w:jc w:val="left"/>
        <w:rPr>
          <w:sz w:val="24"/>
          <w:szCs w:val="24"/>
        </w:rPr>
      </w:pPr>
      <w:r w:rsidRPr="009D211D">
        <w:rPr>
          <w:sz w:val="24"/>
          <w:szCs w:val="24"/>
        </w:rPr>
        <w:t>In order to meet the requirements of the new NHS National Standards for Patient Safety Investigation we will:</w:t>
      </w:r>
    </w:p>
    <w:p w:rsidR="00AA0849" w:rsidRPr="009D211D" w:rsidRDefault="00AA0849" w:rsidP="009D211D">
      <w:pPr>
        <w:pStyle w:val="Policybody"/>
        <w:jc w:val="lef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095"/>
      </w:tblGrid>
      <w:tr w:rsidR="00AA0849" w:rsidRPr="009D211D" w:rsidTr="00792BEA">
        <w:tc>
          <w:tcPr>
            <w:tcW w:w="3686" w:type="dxa"/>
            <w:shd w:val="clear" w:color="auto" w:fill="2F5496"/>
          </w:tcPr>
          <w:p w:rsidR="00AA0849" w:rsidRPr="009D211D" w:rsidRDefault="00AA0849" w:rsidP="009D211D">
            <w:pPr>
              <w:jc w:val="left"/>
              <w:rPr>
                <w:b/>
                <w:color w:val="FFFFFF"/>
                <w:sz w:val="24"/>
                <w:szCs w:val="24"/>
              </w:rPr>
            </w:pPr>
            <w:r w:rsidRPr="009D211D">
              <w:rPr>
                <w:b/>
                <w:color w:val="FFFFFF"/>
                <w:sz w:val="24"/>
                <w:szCs w:val="24"/>
              </w:rPr>
              <w:t>PSIRF aims</w:t>
            </w:r>
          </w:p>
        </w:tc>
        <w:tc>
          <w:tcPr>
            <w:tcW w:w="6095" w:type="dxa"/>
            <w:shd w:val="clear" w:color="auto" w:fill="2F5496"/>
          </w:tcPr>
          <w:p w:rsidR="00AA0849" w:rsidRPr="009D211D" w:rsidRDefault="00AA0849" w:rsidP="009D211D">
            <w:pPr>
              <w:jc w:val="left"/>
              <w:rPr>
                <w:b/>
                <w:color w:val="FFFFFF"/>
                <w:sz w:val="24"/>
                <w:szCs w:val="24"/>
              </w:rPr>
            </w:pPr>
            <w:r w:rsidRPr="009D211D">
              <w:rPr>
                <w:b/>
                <w:color w:val="FFFFFF"/>
                <w:sz w:val="24"/>
                <w:szCs w:val="24"/>
              </w:rPr>
              <w:t xml:space="preserve">KCHFT </w:t>
            </w:r>
          </w:p>
        </w:tc>
      </w:tr>
      <w:tr w:rsidR="00AA0849" w:rsidRPr="009D211D" w:rsidTr="00792BEA">
        <w:tc>
          <w:tcPr>
            <w:tcW w:w="3686" w:type="dxa"/>
            <w:shd w:val="clear" w:color="auto" w:fill="D9E2F3"/>
          </w:tcPr>
          <w:tbl>
            <w:tblPr>
              <w:tblW w:w="0" w:type="auto"/>
              <w:tblBorders>
                <w:top w:val="nil"/>
                <w:left w:val="nil"/>
                <w:bottom w:val="nil"/>
                <w:right w:val="nil"/>
              </w:tblBorders>
              <w:tblLook w:val="0000" w:firstRow="0" w:lastRow="0" w:firstColumn="0" w:lastColumn="0" w:noHBand="0" w:noVBand="0"/>
            </w:tblPr>
            <w:tblGrid>
              <w:gridCol w:w="3470"/>
            </w:tblGrid>
            <w:tr w:rsidR="00AA0849" w:rsidRPr="009D211D" w:rsidTr="002B647B">
              <w:trPr>
                <w:trHeight w:val="255"/>
              </w:trPr>
              <w:tc>
                <w:tcPr>
                  <w:tcW w:w="0" w:type="auto"/>
                </w:tcPr>
                <w:p w:rsidR="00AA0849" w:rsidRPr="009D211D" w:rsidRDefault="00AA0849" w:rsidP="009D211D">
                  <w:pPr>
                    <w:jc w:val="left"/>
                    <w:rPr>
                      <w:sz w:val="24"/>
                      <w:szCs w:val="24"/>
                    </w:rPr>
                  </w:pPr>
                  <w:r w:rsidRPr="009D211D">
                    <w:rPr>
                      <w:sz w:val="24"/>
                      <w:szCs w:val="24"/>
                    </w:rPr>
                    <w:t>Compassionate engagement and involvement of those affected by patient safety incidents</w:t>
                  </w:r>
                </w:p>
              </w:tc>
            </w:tr>
          </w:tbl>
          <w:p w:rsidR="00AA0849" w:rsidRPr="009D211D" w:rsidRDefault="00AA0849" w:rsidP="009D211D">
            <w:pPr>
              <w:jc w:val="left"/>
              <w:rPr>
                <w:sz w:val="24"/>
                <w:szCs w:val="24"/>
              </w:rPr>
            </w:pPr>
          </w:p>
        </w:tc>
        <w:tc>
          <w:tcPr>
            <w:tcW w:w="6095" w:type="dxa"/>
            <w:shd w:val="clear" w:color="auto" w:fill="D9E2F3"/>
          </w:tcPr>
          <w:p w:rsidR="00AA0849" w:rsidRPr="009D211D" w:rsidRDefault="00AA0849" w:rsidP="009D211D">
            <w:pPr>
              <w:pStyle w:val="Default"/>
              <w:numPr>
                <w:ilvl w:val="0"/>
                <w:numId w:val="8"/>
              </w:numPr>
              <w:autoSpaceDE/>
              <w:autoSpaceDN/>
              <w:adjustRightInd/>
              <w:rPr>
                <w:rFonts w:cs="Times New Roman"/>
                <w:spacing w:val="-7"/>
                <w:lang w:val="en-GB"/>
              </w:rPr>
            </w:pPr>
            <w:r w:rsidRPr="009D211D">
              <w:rPr>
                <w:rFonts w:cs="Times New Roman"/>
                <w:spacing w:val="-7"/>
                <w:lang w:val="en-GB"/>
              </w:rPr>
              <w:t>Develop a climate that supports a just culture</w:t>
            </w:r>
          </w:p>
          <w:p w:rsidR="00AA0849" w:rsidRPr="009D211D" w:rsidRDefault="00AA0849" w:rsidP="009D211D">
            <w:pPr>
              <w:pStyle w:val="Default"/>
              <w:autoSpaceDE/>
              <w:autoSpaceDN/>
              <w:adjustRightInd/>
              <w:ind w:left="360"/>
              <w:rPr>
                <w:rFonts w:cs="Times New Roman"/>
                <w:spacing w:val="-7"/>
                <w:lang w:val="en-GB"/>
              </w:rPr>
            </w:pPr>
            <w:r w:rsidRPr="009D211D">
              <w:rPr>
                <w:rFonts w:cs="Times New Roman"/>
                <w:spacing w:val="-7"/>
                <w:lang w:val="en-GB"/>
              </w:rPr>
              <w:t xml:space="preserve">Provide Being Open training to all </w:t>
            </w:r>
          </w:p>
          <w:p w:rsidR="00AA0849" w:rsidRPr="009D211D" w:rsidRDefault="00AA0849" w:rsidP="009D211D">
            <w:pPr>
              <w:pStyle w:val="Default"/>
              <w:numPr>
                <w:ilvl w:val="0"/>
                <w:numId w:val="8"/>
              </w:numPr>
              <w:autoSpaceDE/>
              <w:autoSpaceDN/>
              <w:adjustRightInd/>
              <w:rPr>
                <w:rFonts w:cs="Times New Roman"/>
                <w:spacing w:val="-7"/>
                <w:lang w:val="en-GB"/>
              </w:rPr>
            </w:pPr>
            <w:r w:rsidRPr="009D211D">
              <w:rPr>
                <w:rFonts w:cs="Times New Roman"/>
                <w:spacing w:val="-7"/>
                <w:lang w:val="en-GB"/>
              </w:rPr>
              <w:t xml:space="preserve">Respond to patient safety incidents purely from a patient safety perspective </w:t>
            </w:r>
          </w:p>
          <w:p w:rsidR="00AA0849" w:rsidRPr="009D211D" w:rsidRDefault="00AA0849" w:rsidP="009D211D">
            <w:pPr>
              <w:pStyle w:val="Default"/>
              <w:numPr>
                <w:ilvl w:val="0"/>
                <w:numId w:val="9"/>
              </w:numPr>
              <w:autoSpaceDE/>
              <w:autoSpaceDN/>
              <w:adjustRightInd/>
              <w:rPr>
                <w:rFonts w:cs="Times New Roman"/>
                <w:spacing w:val="-7"/>
                <w:lang w:val="en-GB"/>
              </w:rPr>
            </w:pPr>
            <w:r w:rsidRPr="009D211D">
              <w:rPr>
                <w:rFonts w:cs="Times New Roman"/>
                <w:spacing w:val="-7"/>
                <w:lang w:val="en-GB"/>
              </w:rPr>
              <w:t xml:space="preserve">Develop system improvement plans the produces system-based improvements </w:t>
            </w:r>
          </w:p>
          <w:p w:rsidR="00AA0849" w:rsidRPr="009D211D" w:rsidRDefault="00AA0849" w:rsidP="009D211D">
            <w:pPr>
              <w:pStyle w:val="Default"/>
              <w:numPr>
                <w:ilvl w:val="0"/>
                <w:numId w:val="9"/>
              </w:numPr>
              <w:autoSpaceDE/>
              <w:autoSpaceDN/>
              <w:adjustRightInd/>
              <w:rPr>
                <w:rFonts w:cs="Times New Roman"/>
                <w:spacing w:val="-7"/>
                <w:lang w:val="en-GB"/>
              </w:rPr>
            </w:pPr>
            <w:r w:rsidRPr="009D211D">
              <w:rPr>
                <w:rFonts w:cs="Times New Roman"/>
                <w:spacing w:val="-7"/>
                <w:lang w:val="en-GB"/>
              </w:rPr>
              <w:t xml:space="preserve">Act on feedback from patients, families, carers and staff about their concerns </w:t>
            </w:r>
          </w:p>
          <w:p w:rsidR="00AA0849" w:rsidRPr="009D211D" w:rsidRDefault="00AA0849" w:rsidP="009D211D">
            <w:pPr>
              <w:pStyle w:val="Default"/>
              <w:numPr>
                <w:ilvl w:val="0"/>
                <w:numId w:val="9"/>
              </w:numPr>
              <w:autoSpaceDE/>
              <w:autoSpaceDN/>
              <w:adjustRightInd/>
              <w:rPr>
                <w:rFonts w:cs="Times New Roman"/>
                <w:spacing w:val="-7"/>
                <w:lang w:val="en-GB"/>
              </w:rPr>
            </w:pPr>
            <w:r w:rsidRPr="009D211D">
              <w:rPr>
                <w:rFonts w:cs="Times New Roman"/>
                <w:spacing w:val="-7"/>
                <w:lang w:val="en-GB"/>
              </w:rPr>
              <w:t>Support and involve staff, patients, families and carers in incident response</w:t>
            </w:r>
          </w:p>
          <w:p w:rsidR="00AA0849" w:rsidRPr="009D211D" w:rsidRDefault="00AA0849" w:rsidP="009D211D">
            <w:pPr>
              <w:pStyle w:val="Default"/>
              <w:numPr>
                <w:ilvl w:val="0"/>
                <w:numId w:val="8"/>
              </w:numPr>
              <w:autoSpaceDE/>
              <w:autoSpaceDN/>
              <w:adjustRightInd/>
              <w:rPr>
                <w:rFonts w:cs="Times New Roman"/>
                <w:spacing w:val="-7"/>
                <w:lang w:val="en-GB"/>
              </w:rPr>
            </w:pPr>
            <w:r w:rsidRPr="009D211D">
              <w:rPr>
                <w:rFonts w:cs="Times New Roman"/>
                <w:spacing w:val="-7"/>
                <w:lang w:val="en-GB"/>
              </w:rPr>
              <w:t xml:space="preserve">Update related documentation such as </w:t>
            </w:r>
            <w:hyperlink r:id="rId10" w:history="1">
              <w:r w:rsidR="001D5233" w:rsidRPr="009D211D">
                <w:rPr>
                  <w:rStyle w:val="Hyperlink"/>
                </w:rPr>
                <w:t>Duty of Candour leaflet</w:t>
              </w:r>
            </w:hyperlink>
            <w:r w:rsidR="001D5233" w:rsidRPr="009D211D">
              <w:t xml:space="preserve">  </w:t>
            </w:r>
            <w:r w:rsidRPr="009D211D">
              <w:rPr>
                <w:rFonts w:cs="Times New Roman"/>
                <w:spacing w:val="-7"/>
                <w:lang w:val="en-GB"/>
              </w:rPr>
              <w:t>for patients, families and staff members involved in patient safety incidents and ensure they are available on our platforms</w:t>
            </w:r>
          </w:p>
        </w:tc>
      </w:tr>
      <w:tr w:rsidR="00AA0849" w:rsidRPr="009D211D" w:rsidTr="00792BEA">
        <w:tc>
          <w:tcPr>
            <w:tcW w:w="3686" w:type="dxa"/>
            <w:shd w:val="clear" w:color="auto" w:fill="auto"/>
          </w:tcPr>
          <w:p w:rsidR="00AA0849" w:rsidRPr="009D211D" w:rsidRDefault="00AA0849" w:rsidP="009D211D">
            <w:pPr>
              <w:jc w:val="left"/>
              <w:rPr>
                <w:color w:val="0070C0"/>
                <w:sz w:val="24"/>
                <w:szCs w:val="24"/>
              </w:rPr>
            </w:pPr>
            <w:r w:rsidRPr="009D211D">
              <w:rPr>
                <w:rFonts w:cs="Arial"/>
                <w:bCs/>
                <w:sz w:val="24"/>
                <w:szCs w:val="24"/>
              </w:rPr>
              <w:t xml:space="preserve">Provide a range of system-based approaches to learning from patient safety incidents </w:t>
            </w:r>
          </w:p>
        </w:tc>
        <w:tc>
          <w:tcPr>
            <w:tcW w:w="6095" w:type="dxa"/>
            <w:shd w:val="clear" w:color="auto" w:fill="auto"/>
          </w:tcPr>
          <w:p w:rsidR="00AA0849" w:rsidRPr="009D211D" w:rsidRDefault="00AA0849" w:rsidP="009D211D">
            <w:pPr>
              <w:pStyle w:val="Default"/>
              <w:numPr>
                <w:ilvl w:val="0"/>
                <w:numId w:val="9"/>
              </w:numPr>
            </w:pPr>
            <w:r w:rsidRPr="009D211D">
              <w:t>Review current incident management process to reflect learning responses</w:t>
            </w:r>
            <w:r w:rsidR="00283415" w:rsidRPr="009D211D">
              <w:t xml:space="preserve"> as per table 3.3</w:t>
            </w:r>
            <w:r w:rsidR="009D211D">
              <w:t>.</w:t>
            </w:r>
          </w:p>
        </w:tc>
      </w:tr>
      <w:tr w:rsidR="00AA0849" w:rsidRPr="009D211D" w:rsidTr="00792BEA">
        <w:trPr>
          <w:trHeight w:val="39"/>
        </w:trPr>
        <w:tc>
          <w:tcPr>
            <w:tcW w:w="3686" w:type="dxa"/>
            <w:shd w:val="clear" w:color="auto" w:fill="D9E2F3"/>
          </w:tcPr>
          <w:p w:rsidR="00AA0849" w:rsidRPr="009D211D" w:rsidRDefault="00AA0849" w:rsidP="009D211D">
            <w:pPr>
              <w:jc w:val="left"/>
              <w:rPr>
                <w:color w:val="0070C0"/>
                <w:sz w:val="24"/>
                <w:szCs w:val="24"/>
              </w:rPr>
            </w:pPr>
            <w:r w:rsidRPr="009D211D">
              <w:rPr>
                <w:sz w:val="24"/>
                <w:szCs w:val="24"/>
              </w:rPr>
              <w:t>Considered and proportionate responses to patient safety incidents</w:t>
            </w:r>
          </w:p>
        </w:tc>
        <w:tc>
          <w:tcPr>
            <w:tcW w:w="6095" w:type="dxa"/>
            <w:shd w:val="clear" w:color="auto" w:fill="D9E2F3"/>
          </w:tcPr>
          <w:p w:rsidR="00AA0849" w:rsidRPr="009D211D" w:rsidRDefault="00AA0849" w:rsidP="009D211D">
            <w:pPr>
              <w:pStyle w:val="ListParagraph"/>
              <w:numPr>
                <w:ilvl w:val="0"/>
                <w:numId w:val="10"/>
              </w:numPr>
              <w:autoSpaceDE w:val="0"/>
              <w:autoSpaceDN w:val="0"/>
              <w:adjustRightInd w:val="0"/>
              <w:contextualSpacing/>
              <w:jc w:val="left"/>
              <w:rPr>
                <w:rFonts w:cs="Arial"/>
                <w:sz w:val="24"/>
                <w:szCs w:val="24"/>
              </w:rPr>
            </w:pPr>
            <w:r w:rsidRPr="009D211D">
              <w:rPr>
                <w:rFonts w:cs="Arial"/>
                <w:sz w:val="24"/>
                <w:szCs w:val="24"/>
              </w:rPr>
              <w:t>Place greater emphasis on implementation of meaningful actions that lead to demonstrable change and improvement rather than quantity of investigations.</w:t>
            </w:r>
          </w:p>
          <w:p w:rsidR="00AA0849" w:rsidRPr="009D211D" w:rsidRDefault="00AA0849" w:rsidP="009D211D">
            <w:pPr>
              <w:pStyle w:val="Default"/>
              <w:numPr>
                <w:ilvl w:val="0"/>
                <w:numId w:val="10"/>
              </w:numPr>
            </w:pPr>
            <w:r w:rsidRPr="009D211D">
              <w:t>Support and involve staff in patient safety incident response, for better understanding of the issues and contributory factors.</w:t>
            </w:r>
          </w:p>
        </w:tc>
      </w:tr>
      <w:tr w:rsidR="00AA0849" w:rsidRPr="009D211D" w:rsidTr="00792BEA">
        <w:tc>
          <w:tcPr>
            <w:tcW w:w="3686" w:type="dxa"/>
            <w:shd w:val="clear" w:color="auto" w:fill="auto"/>
          </w:tcPr>
          <w:p w:rsidR="00AA0849" w:rsidRPr="009D211D" w:rsidRDefault="00AA0849" w:rsidP="009D211D">
            <w:pPr>
              <w:jc w:val="left"/>
              <w:rPr>
                <w:color w:val="0070C0"/>
                <w:sz w:val="24"/>
                <w:szCs w:val="24"/>
              </w:rPr>
            </w:pPr>
            <w:r w:rsidRPr="009D211D">
              <w:rPr>
                <w:sz w:val="24"/>
                <w:szCs w:val="24"/>
              </w:rPr>
              <w:t>Supportive oversight focused on strengthening response system functioning and improvement</w:t>
            </w:r>
            <w:r w:rsidR="009443D3" w:rsidRPr="009D211D">
              <w:rPr>
                <w:sz w:val="24"/>
                <w:szCs w:val="24"/>
              </w:rPr>
              <w:t xml:space="preserve"> which </w:t>
            </w:r>
            <w:r w:rsidR="009443D3" w:rsidRPr="009D211D">
              <w:rPr>
                <w:color w:val="auto"/>
                <w:sz w:val="24"/>
                <w:szCs w:val="24"/>
              </w:rPr>
              <w:t>will include furth</w:t>
            </w:r>
            <w:r w:rsidR="00B425E2" w:rsidRPr="009D211D">
              <w:rPr>
                <w:color w:val="auto"/>
                <w:sz w:val="24"/>
                <w:szCs w:val="24"/>
              </w:rPr>
              <w:t>e</w:t>
            </w:r>
            <w:r w:rsidR="009443D3" w:rsidRPr="009D211D">
              <w:rPr>
                <w:color w:val="auto"/>
                <w:sz w:val="24"/>
                <w:szCs w:val="24"/>
              </w:rPr>
              <w:t>r training as these become available.</w:t>
            </w:r>
          </w:p>
        </w:tc>
        <w:tc>
          <w:tcPr>
            <w:tcW w:w="6095" w:type="dxa"/>
            <w:shd w:val="clear" w:color="auto" w:fill="auto"/>
          </w:tcPr>
          <w:p w:rsidR="00AA0849" w:rsidRPr="009D211D" w:rsidRDefault="00AA0849" w:rsidP="009D211D">
            <w:pPr>
              <w:pStyle w:val="Default"/>
              <w:numPr>
                <w:ilvl w:val="0"/>
                <w:numId w:val="11"/>
              </w:numPr>
            </w:pPr>
            <w:r w:rsidRPr="009D211D">
              <w:t>Review existing internal training course for staff who are required to undertake reviews of care for PSII to include:</w:t>
            </w:r>
          </w:p>
          <w:p w:rsidR="00AA0849" w:rsidRPr="009D211D" w:rsidRDefault="00AA0849" w:rsidP="009D211D">
            <w:pPr>
              <w:pStyle w:val="Default"/>
            </w:pPr>
          </w:p>
          <w:p w:rsidR="00AA0849" w:rsidRPr="009D211D" w:rsidRDefault="00AA0849" w:rsidP="009D211D">
            <w:pPr>
              <w:pStyle w:val="Default"/>
              <w:numPr>
                <w:ilvl w:val="0"/>
                <w:numId w:val="12"/>
              </w:numPr>
              <w:spacing w:after="104"/>
            </w:pPr>
            <w:r w:rsidRPr="009D211D">
              <w:t>Application of updated analytical tools such as SEIPS</w:t>
            </w:r>
          </w:p>
          <w:p w:rsidR="00AA0849" w:rsidRPr="009D211D" w:rsidRDefault="00AA0849" w:rsidP="009D211D">
            <w:pPr>
              <w:pStyle w:val="Default"/>
              <w:numPr>
                <w:ilvl w:val="0"/>
                <w:numId w:val="11"/>
              </w:numPr>
            </w:pPr>
            <w:r w:rsidRPr="009D211D">
              <w:t>Senior leaders to undertake patient safety training</w:t>
            </w:r>
          </w:p>
          <w:p w:rsidR="00AA0849" w:rsidRPr="009D211D" w:rsidRDefault="00AA0849" w:rsidP="009D211D">
            <w:pPr>
              <w:pStyle w:val="Default"/>
              <w:numPr>
                <w:ilvl w:val="0"/>
                <w:numId w:val="11"/>
              </w:numPr>
            </w:pPr>
            <w:r w:rsidRPr="009D211D">
              <w:t xml:space="preserve">Patient </w:t>
            </w:r>
            <w:r w:rsidR="009443D3" w:rsidRPr="009D211D">
              <w:t>S</w:t>
            </w:r>
            <w:r w:rsidRPr="009D211D">
              <w:t>afety Specialist</w:t>
            </w:r>
            <w:r w:rsidR="009443D3" w:rsidRPr="009D211D">
              <w:t>s</w:t>
            </w:r>
            <w:r w:rsidRPr="009D211D">
              <w:t xml:space="preserve"> to complete NHS recognised training. This will include:</w:t>
            </w:r>
          </w:p>
          <w:p w:rsidR="00AA0849" w:rsidRPr="009D211D" w:rsidRDefault="00AA0849" w:rsidP="009D211D">
            <w:pPr>
              <w:pStyle w:val="Default"/>
              <w:numPr>
                <w:ilvl w:val="0"/>
                <w:numId w:val="13"/>
              </w:numPr>
            </w:pPr>
            <w:r w:rsidRPr="009D211D">
              <w:t xml:space="preserve">Systems approach to learning from patient safety incidents </w:t>
            </w:r>
          </w:p>
          <w:p w:rsidR="00AA0849" w:rsidRPr="009D211D" w:rsidRDefault="00AA0849" w:rsidP="009D211D">
            <w:pPr>
              <w:pStyle w:val="Default"/>
              <w:numPr>
                <w:ilvl w:val="0"/>
                <w:numId w:val="13"/>
              </w:numPr>
            </w:pPr>
            <w:r w:rsidRPr="009D211D">
              <w:lastRenderedPageBreak/>
              <w:t xml:space="preserve">Oversight of learning from patient safety incidents </w:t>
            </w:r>
          </w:p>
          <w:p w:rsidR="00AA0849" w:rsidRPr="009D211D" w:rsidRDefault="00AA0849" w:rsidP="009D211D">
            <w:pPr>
              <w:pStyle w:val="Default"/>
              <w:numPr>
                <w:ilvl w:val="0"/>
                <w:numId w:val="13"/>
              </w:numPr>
            </w:pPr>
            <w:r w:rsidRPr="009D211D">
              <w:t xml:space="preserve">Involving those affected by patient safety incidents </w:t>
            </w:r>
          </w:p>
          <w:p w:rsidR="00AA0849" w:rsidRPr="009D211D" w:rsidRDefault="00AA0849" w:rsidP="009D211D">
            <w:pPr>
              <w:pStyle w:val="Default"/>
              <w:numPr>
                <w:ilvl w:val="0"/>
                <w:numId w:val="13"/>
              </w:numPr>
            </w:pPr>
            <w:r w:rsidRPr="009D211D">
              <w:t xml:space="preserve">Patient safety syllabus level 1 essentials of patient safety for boards and senior leadership teams </w:t>
            </w:r>
          </w:p>
          <w:p w:rsidR="00AA0849" w:rsidRPr="009D211D" w:rsidRDefault="00AA0849" w:rsidP="009D211D">
            <w:pPr>
              <w:pStyle w:val="Default"/>
              <w:numPr>
                <w:ilvl w:val="0"/>
                <w:numId w:val="13"/>
              </w:numPr>
            </w:pPr>
            <w:r w:rsidRPr="009D211D">
              <w:t>Patient safety syllabus level 2 access to practice</w:t>
            </w:r>
          </w:p>
        </w:tc>
      </w:tr>
    </w:tbl>
    <w:p w:rsidR="002D32B7" w:rsidRPr="009D211D" w:rsidRDefault="002D32B7" w:rsidP="009D211D">
      <w:pPr>
        <w:pStyle w:val="Policybody"/>
        <w:ind w:left="0" w:firstLine="0"/>
        <w:jc w:val="left"/>
      </w:pPr>
    </w:p>
    <w:p w:rsidR="00354FB6" w:rsidRPr="009D211D" w:rsidRDefault="00354FB6" w:rsidP="009D211D">
      <w:pPr>
        <w:numPr>
          <w:ilvl w:val="0"/>
          <w:numId w:val="2"/>
        </w:numPr>
        <w:spacing w:before="240"/>
        <w:jc w:val="left"/>
        <w:rPr>
          <w:b/>
          <w:sz w:val="24"/>
          <w:szCs w:val="24"/>
        </w:rPr>
      </w:pPr>
      <w:bookmarkStart w:id="11" w:name="_Toc139348301"/>
      <w:bookmarkStart w:id="12" w:name="_Toc146584858"/>
      <w:bookmarkStart w:id="13" w:name="_Toc146585158"/>
      <w:bookmarkStart w:id="14" w:name="_Toc146585215"/>
      <w:bookmarkStart w:id="15" w:name="_Toc177183135"/>
      <w:bookmarkStart w:id="16" w:name="_Toc177183204"/>
      <w:bookmarkStart w:id="17" w:name="_Toc177183696"/>
      <w:bookmarkStart w:id="18" w:name="_Toc178327814"/>
      <w:bookmarkStart w:id="19" w:name="_Toc178327907"/>
      <w:bookmarkStart w:id="20" w:name="_Toc222216181"/>
      <w:bookmarkStart w:id="21" w:name="_Toc225692592"/>
      <w:bookmarkStart w:id="22" w:name="_Toc225692622"/>
      <w:bookmarkEnd w:id="9"/>
      <w:r w:rsidRPr="009D211D">
        <w:rPr>
          <w:b/>
          <w:sz w:val="24"/>
          <w:szCs w:val="24"/>
        </w:rPr>
        <w:t>Our patient safety incident response plan: national requirements</w:t>
      </w:r>
    </w:p>
    <w:p w:rsidR="00354FB6" w:rsidRPr="009D211D" w:rsidRDefault="00354FB6" w:rsidP="009D211D">
      <w:pPr>
        <w:jc w:val="left"/>
        <w:rPr>
          <w:rFonts w:cs="Arial"/>
          <w:b/>
          <w:spacing w:val="0"/>
          <w:sz w:val="24"/>
          <w:szCs w:val="24"/>
        </w:rPr>
      </w:pPr>
    </w:p>
    <w:tbl>
      <w:tblPr>
        <w:tblW w:w="9640" w:type="dxa"/>
        <w:tblInd w:w="-34"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2864"/>
        <w:gridCol w:w="2240"/>
        <w:gridCol w:w="4536"/>
      </w:tblGrid>
      <w:tr w:rsidR="009B2BAD" w:rsidRPr="009D211D" w:rsidTr="00792BEA">
        <w:trPr>
          <w:trHeight w:val="39"/>
        </w:trPr>
        <w:tc>
          <w:tcPr>
            <w:tcW w:w="2864" w:type="dxa"/>
            <w:shd w:val="clear" w:color="auto" w:fill="2F5496"/>
          </w:tcPr>
          <w:p w:rsidR="00354FB6" w:rsidRPr="009D211D" w:rsidRDefault="00354FB6" w:rsidP="009D211D">
            <w:pPr>
              <w:jc w:val="left"/>
              <w:rPr>
                <w:rFonts w:cs="Arial"/>
                <w:b/>
                <w:color w:val="FFFFFF"/>
                <w:sz w:val="24"/>
                <w:szCs w:val="24"/>
              </w:rPr>
            </w:pPr>
            <w:r w:rsidRPr="009D211D">
              <w:rPr>
                <w:rFonts w:cs="Arial"/>
                <w:b/>
                <w:color w:val="FFFFFF"/>
                <w:sz w:val="24"/>
                <w:szCs w:val="24"/>
              </w:rPr>
              <w:t>National Priority</w:t>
            </w:r>
          </w:p>
        </w:tc>
        <w:tc>
          <w:tcPr>
            <w:tcW w:w="2240" w:type="dxa"/>
            <w:shd w:val="clear" w:color="auto" w:fill="2F5496"/>
          </w:tcPr>
          <w:p w:rsidR="00354FB6" w:rsidRPr="009D211D" w:rsidRDefault="00354FB6" w:rsidP="009D211D">
            <w:pPr>
              <w:jc w:val="left"/>
              <w:rPr>
                <w:rFonts w:cs="Arial"/>
                <w:b/>
                <w:color w:val="FFFFFF"/>
                <w:sz w:val="24"/>
                <w:szCs w:val="24"/>
              </w:rPr>
            </w:pPr>
            <w:r w:rsidRPr="009D211D">
              <w:rPr>
                <w:rFonts w:cs="Arial"/>
                <w:b/>
                <w:color w:val="FFFFFF"/>
                <w:sz w:val="24"/>
                <w:szCs w:val="24"/>
              </w:rPr>
              <w:t xml:space="preserve">Required response </w:t>
            </w:r>
          </w:p>
        </w:tc>
        <w:tc>
          <w:tcPr>
            <w:tcW w:w="4536" w:type="dxa"/>
            <w:shd w:val="clear" w:color="auto" w:fill="2F5496"/>
          </w:tcPr>
          <w:p w:rsidR="00354FB6" w:rsidRPr="009D211D" w:rsidRDefault="00354FB6" w:rsidP="009D211D">
            <w:pPr>
              <w:jc w:val="left"/>
              <w:rPr>
                <w:rFonts w:cs="Arial"/>
                <w:b/>
                <w:color w:val="FFFFFF"/>
                <w:sz w:val="24"/>
                <w:szCs w:val="24"/>
              </w:rPr>
            </w:pPr>
            <w:r w:rsidRPr="009D211D">
              <w:rPr>
                <w:rFonts w:cs="Arial"/>
                <w:b/>
                <w:color w:val="FFFFFF"/>
                <w:sz w:val="24"/>
                <w:szCs w:val="24"/>
              </w:rPr>
              <w:t>Anticipated improvement route</w:t>
            </w:r>
          </w:p>
        </w:tc>
      </w:tr>
      <w:tr w:rsidR="00354FB6" w:rsidRPr="009D211D" w:rsidTr="00792BEA">
        <w:tc>
          <w:tcPr>
            <w:tcW w:w="2864" w:type="dxa"/>
          </w:tcPr>
          <w:p w:rsidR="00354FB6" w:rsidRPr="009D211D" w:rsidRDefault="00354FB6" w:rsidP="009D211D">
            <w:pPr>
              <w:spacing w:after="120"/>
              <w:jc w:val="left"/>
              <w:rPr>
                <w:rFonts w:eastAsia="Arial" w:cs="Calibri"/>
                <w:sz w:val="24"/>
                <w:szCs w:val="24"/>
              </w:rPr>
            </w:pPr>
            <w:r w:rsidRPr="009D211D">
              <w:rPr>
                <w:rFonts w:eastAsia="Arial" w:cs="Calibri"/>
                <w:bCs/>
                <w:sz w:val="24"/>
                <w:szCs w:val="24"/>
              </w:rPr>
              <w:t>Incidents meeting the Never Events criteria</w:t>
            </w:r>
          </w:p>
        </w:tc>
        <w:tc>
          <w:tcPr>
            <w:tcW w:w="2240" w:type="dxa"/>
          </w:tcPr>
          <w:p w:rsidR="00354FB6" w:rsidRPr="009D211D" w:rsidRDefault="00354FB6" w:rsidP="009D211D">
            <w:pPr>
              <w:spacing w:after="120"/>
              <w:jc w:val="left"/>
              <w:rPr>
                <w:rFonts w:eastAsia="Arial" w:cs="Calibri"/>
                <w:sz w:val="24"/>
                <w:szCs w:val="24"/>
              </w:rPr>
            </w:pPr>
            <w:r w:rsidRPr="009D211D">
              <w:rPr>
                <w:rFonts w:eastAsia="Arial" w:cs="Calibri"/>
                <w:bCs/>
                <w:sz w:val="24"/>
                <w:szCs w:val="24"/>
              </w:rPr>
              <w:t>PSII</w:t>
            </w:r>
          </w:p>
        </w:tc>
        <w:tc>
          <w:tcPr>
            <w:tcW w:w="4536" w:type="dxa"/>
          </w:tcPr>
          <w:p w:rsidR="00354FB6" w:rsidRPr="009D211D" w:rsidRDefault="00354FB6" w:rsidP="009D211D">
            <w:pPr>
              <w:spacing w:after="120"/>
              <w:jc w:val="left"/>
              <w:rPr>
                <w:rFonts w:eastAsia="Arial"/>
                <w:b/>
                <w:sz w:val="24"/>
                <w:szCs w:val="24"/>
              </w:rPr>
            </w:pPr>
            <w:r w:rsidRPr="009D211D">
              <w:rPr>
                <w:sz w:val="24"/>
                <w:szCs w:val="24"/>
              </w:rPr>
              <w:t>Create local organisational actions and feed these into the quality improvement strategy</w:t>
            </w:r>
          </w:p>
        </w:tc>
      </w:tr>
      <w:tr w:rsidR="00354FB6" w:rsidRPr="009D211D" w:rsidTr="00792BEA">
        <w:tc>
          <w:tcPr>
            <w:tcW w:w="2864" w:type="dxa"/>
          </w:tcPr>
          <w:p w:rsidR="00354FB6" w:rsidRPr="009D211D" w:rsidRDefault="00354FB6" w:rsidP="009D211D">
            <w:pPr>
              <w:spacing w:after="120"/>
              <w:jc w:val="left"/>
              <w:rPr>
                <w:rFonts w:eastAsia="Arial" w:cs="Calibri"/>
                <w:sz w:val="24"/>
                <w:szCs w:val="24"/>
              </w:rPr>
            </w:pPr>
            <w:r w:rsidRPr="009D211D">
              <w:rPr>
                <w:rFonts w:eastAsia="Arial" w:cs="Calibri"/>
                <w:bCs/>
                <w:sz w:val="24"/>
                <w:szCs w:val="24"/>
              </w:rPr>
              <w:t xml:space="preserve">Incidents meeting the learning from deaths criteria </w:t>
            </w:r>
          </w:p>
        </w:tc>
        <w:tc>
          <w:tcPr>
            <w:tcW w:w="2240" w:type="dxa"/>
          </w:tcPr>
          <w:p w:rsidR="00354FB6" w:rsidRPr="009D211D" w:rsidRDefault="00354FB6" w:rsidP="009D211D">
            <w:pPr>
              <w:spacing w:after="120"/>
              <w:jc w:val="left"/>
              <w:rPr>
                <w:rFonts w:eastAsia="Arial" w:cs="Calibri"/>
                <w:bCs/>
                <w:sz w:val="24"/>
                <w:szCs w:val="24"/>
              </w:rPr>
            </w:pPr>
            <w:r w:rsidRPr="009D211D">
              <w:rPr>
                <w:rFonts w:eastAsia="Arial" w:cs="Calibri"/>
                <w:bCs/>
                <w:sz w:val="24"/>
                <w:szCs w:val="24"/>
              </w:rPr>
              <w:t xml:space="preserve">SJR </w:t>
            </w:r>
          </w:p>
          <w:p w:rsidR="00354FB6" w:rsidRPr="009D211D" w:rsidRDefault="00354FB6" w:rsidP="009D211D">
            <w:pPr>
              <w:spacing w:after="120"/>
              <w:jc w:val="left"/>
              <w:rPr>
                <w:rFonts w:eastAsia="Arial" w:cs="Calibri"/>
                <w:sz w:val="24"/>
                <w:szCs w:val="24"/>
              </w:rPr>
            </w:pPr>
            <w:r w:rsidRPr="009D211D">
              <w:rPr>
                <w:rFonts w:eastAsia="Arial" w:cs="Calibri"/>
                <w:bCs/>
                <w:sz w:val="24"/>
                <w:szCs w:val="24"/>
              </w:rPr>
              <w:t>PSII</w:t>
            </w:r>
          </w:p>
        </w:tc>
        <w:tc>
          <w:tcPr>
            <w:tcW w:w="4536" w:type="dxa"/>
          </w:tcPr>
          <w:p w:rsidR="00354FB6" w:rsidRPr="009D211D" w:rsidRDefault="00354FB6" w:rsidP="009D211D">
            <w:pPr>
              <w:spacing w:after="120"/>
              <w:jc w:val="left"/>
              <w:rPr>
                <w:rFonts w:eastAsia="Arial"/>
                <w:b/>
                <w:sz w:val="24"/>
                <w:szCs w:val="24"/>
              </w:rPr>
            </w:pPr>
            <w:r w:rsidRPr="009D211D">
              <w:rPr>
                <w:sz w:val="24"/>
                <w:szCs w:val="24"/>
              </w:rPr>
              <w:t>Create local organisational actions and feed these into the quality improvement strategy</w:t>
            </w:r>
          </w:p>
        </w:tc>
      </w:tr>
      <w:tr w:rsidR="00354FB6" w:rsidRPr="009D211D" w:rsidTr="00792BEA">
        <w:tc>
          <w:tcPr>
            <w:tcW w:w="2864" w:type="dxa"/>
          </w:tcPr>
          <w:p w:rsidR="00354FB6" w:rsidRPr="009D211D" w:rsidRDefault="00354FB6" w:rsidP="009D211D">
            <w:pPr>
              <w:spacing w:after="120"/>
              <w:jc w:val="left"/>
              <w:rPr>
                <w:rFonts w:eastAsia="Arial" w:cs="Calibri"/>
                <w:bCs/>
                <w:sz w:val="24"/>
                <w:szCs w:val="24"/>
              </w:rPr>
            </w:pPr>
            <w:r w:rsidRPr="009D211D">
              <w:rPr>
                <w:rFonts w:eastAsia="Arial" w:cs="Calibri"/>
                <w:bCs/>
                <w:sz w:val="24"/>
                <w:szCs w:val="24"/>
              </w:rPr>
              <w:t>Deaths of persons with learning disabilities</w:t>
            </w:r>
          </w:p>
        </w:tc>
        <w:tc>
          <w:tcPr>
            <w:tcW w:w="2240" w:type="dxa"/>
          </w:tcPr>
          <w:p w:rsidR="00354FB6" w:rsidRPr="009D211D" w:rsidRDefault="00354FB6" w:rsidP="009D211D">
            <w:pPr>
              <w:spacing w:after="120"/>
              <w:jc w:val="left"/>
              <w:rPr>
                <w:rFonts w:eastAsia="Arial" w:cs="Calibri"/>
                <w:bCs/>
                <w:sz w:val="24"/>
                <w:szCs w:val="24"/>
              </w:rPr>
            </w:pPr>
            <w:r w:rsidRPr="009D211D">
              <w:rPr>
                <w:rFonts w:eastAsia="Arial" w:cs="Calibri"/>
                <w:bCs/>
                <w:sz w:val="24"/>
                <w:szCs w:val="24"/>
              </w:rPr>
              <w:t>LeDeR</w:t>
            </w:r>
          </w:p>
        </w:tc>
        <w:tc>
          <w:tcPr>
            <w:tcW w:w="4536" w:type="dxa"/>
          </w:tcPr>
          <w:p w:rsidR="00354FB6" w:rsidRPr="009D211D" w:rsidRDefault="00354FB6" w:rsidP="009D211D">
            <w:pPr>
              <w:spacing w:after="120"/>
              <w:jc w:val="left"/>
              <w:rPr>
                <w:sz w:val="24"/>
                <w:szCs w:val="24"/>
              </w:rPr>
            </w:pPr>
          </w:p>
        </w:tc>
      </w:tr>
    </w:tbl>
    <w:p w:rsidR="00354FB6" w:rsidRPr="009D211D" w:rsidRDefault="00354FB6" w:rsidP="009D211D">
      <w:pPr>
        <w:jc w:val="left"/>
        <w:rPr>
          <w:rFonts w:cs="Arial"/>
          <w:b/>
          <w:spacing w:val="0"/>
          <w:sz w:val="24"/>
          <w:szCs w:val="24"/>
        </w:rPr>
      </w:pPr>
    </w:p>
    <w:p w:rsidR="00B04DCF" w:rsidRPr="009D211D" w:rsidRDefault="00607771" w:rsidP="009D211D">
      <w:pPr>
        <w:ind w:left="709" w:hanging="709"/>
        <w:jc w:val="left"/>
        <w:rPr>
          <w:rFonts w:cs="Arial"/>
          <w:color w:val="auto"/>
          <w:spacing w:val="0"/>
          <w:sz w:val="24"/>
          <w:szCs w:val="24"/>
        </w:rPr>
      </w:pPr>
      <w:r w:rsidRPr="009D211D">
        <w:rPr>
          <w:rFonts w:cs="Arial"/>
          <w:b/>
          <w:color w:val="auto"/>
          <w:spacing w:val="0"/>
          <w:sz w:val="24"/>
          <w:szCs w:val="24"/>
        </w:rPr>
        <w:t>3</w:t>
      </w:r>
      <w:r w:rsidR="005B5467" w:rsidRPr="009D211D">
        <w:rPr>
          <w:rFonts w:cs="Arial"/>
          <w:b/>
          <w:color w:val="auto"/>
          <w:spacing w:val="0"/>
          <w:sz w:val="24"/>
          <w:szCs w:val="24"/>
        </w:rPr>
        <w:t>.1</w:t>
      </w:r>
      <w:r w:rsidR="00354FB6" w:rsidRPr="009D211D">
        <w:rPr>
          <w:rFonts w:cs="Arial"/>
          <w:b/>
          <w:color w:val="auto"/>
          <w:spacing w:val="0"/>
          <w:sz w:val="24"/>
          <w:szCs w:val="24"/>
        </w:rPr>
        <w:t xml:space="preserve"> Criteria for defining top patient safety risks based on organisational data review</w:t>
      </w:r>
      <w:r w:rsidR="00354FB6" w:rsidRPr="009D211D">
        <w:rPr>
          <w:rFonts w:cs="Arial"/>
          <w:color w:val="auto"/>
          <w:spacing w:val="0"/>
          <w:sz w:val="24"/>
          <w:szCs w:val="24"/>
        </w:rPr>
        <w:t>.</w:t>
      </w:r>
    </w:p>
    <w:tbl>
      <w:tblPr>
        <w:tblpPr w:leftFromText="180" w:rightFromText="180" w:vertAnchor="text" w:horzAnchor="page" w:tblpX="1185" w:tblpY="459"/>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697"/>
      </w:tblGrid>
      <w:tr w:rsidR="009B2BAD" w:rsidRPr="009D211D" w:rsidTr="00792BEA">
        <w:trPr>
          <w:trHeight w:val="277"/>
        </w:trPr>
        <w:tc>
          <w:tcPr>
            <w:tcW w:w="2835" w:type="dxa"/>
            <w:tcBorders>
              <w:right w:val="single" w:sz="8" w:space="0" w:color="B4C6E7"/>
            </w:tcBorders>
            <w:shd w:val="clear" w:color="auto" w:fill="2F5496"/>
          </w:tcPr>
          <w:p w:rsidR="00354FB6" w:rsidRPr="009D211D" w:rsidRDefault="00354FB6" w:rsidP="00792BEA">
            <w:pPr>
              <w:jc w:val="left"/>
              <w:rPr>
                <w:rFonts w:cs="Arial"/>
                <w:b/>
                <w:color w:val="FFFFFF"/>
                <w:sz w:val="24"/>
                <w:szCs w:val="24"/>
              </w:rPr>
            </w:pPr>
            <w:r w:rsidRPr="009D211D">
              <w:rPr>
                <w:rFonts w:cs="Arial"/>
                <w:b/>
                <w:color w:val="FFFFFF"/>
                <w:sz w:val="24"/>
                <w:szCs w:val="24"/>
              </w:rPr>
              <w:t xml:space="preserve">Criteria </w:t>
            </w:r>
          </w:p>
        </w:tc>
        <w:tc>
          <w:tcPr>
            <w:tcW w:w="6697" w:type="dxa"/>
            <w:tcBorders>
              <w:top w:val="single" w:sz="8" w:space="0" w:color="B4C6E7"/>
              <w:left w:val="single" w:sz="8" w:space="0" w:color="B4C6E7"/>
              <w:bottom w:val="single" w:sz="8" w:space="0" w:color="B4C6E7"/>
              <w:right w:val="single" w:sz="8" w:space="0" w:color="B4C6E7"/>
            </w:tcBorders>
            <w:shd w:val="clear" w:color="auto" w:fill="2F5496"/>
          </w:tcPr>
          <w:p w:rsidR="00354FB6" w:rsidRPr="009D211D" w:rsidRDefault="00354FB6" w:rsidP="00792BEA">
            <w:pPr>
              <w:jc w:val="left"/>
              <w:rPr>
                <w:rFonts w:cs="Arial"/>
                <w:b/>
                <w:color w:val="FFFFFF"/>
                <w:sz w:val="24"/>
                <w:szCs w:val="24"/>
              </w:rPr>
            </w:pPr>
            <w:r w:rsidRPr="009D211D">
              <w:rPr>
                <w:rFonts w:cs="Arial"/>
                <w:b/>
                <w:color w:val="FFFFFF"/>
                <w:sz w:val="24"/>
                <w:szCs w:val="24"/>
              </w:rPr>
              <w:t>Consideration</w:t>
            </w:r>
          </w:p>
        </w:tc>
      </w:tr>
      <w:tr w:rsidR="00CF5FCB" w:rsidRPr="009D211D" w:rsidTr="00792BEA">
        <w:trPr>
          <w:trHeight w:val="277"/>
        </w:trPr>
        <w:tc>
          <w:tcPr>
            <w:tcW w:w="2835" w:type="dxa"/>
            <w:tcBorders>
              <w:right w:val="single" w:sz="8" w:space="0" w:color="B4C6E7"/>
            </w:tcBorders>
            <w:shd w:val="clear" w:color="auto" w:fill="D9E2F3"/>
          </w:tcPr>
          <w:p w:rsidR="00354FB6" w:rsidRPr="009D211D" w:rsidRDefault="00354FB6" w:rsidP="00792BEA">
            <w:pPr>
              <w:jc w:val="left"/>
              <w:rPr>
                <w:rFonts w:cs="Arial"/>
                <w:b/>
                <w:sz w:val="24"/>
                <w:szCs w:val="24"/>
              </w:rPr>
            </w:pPr>
            <w:r w:rsidRPr="009D211D">
              <w:rPr>
                <w:rFonts w:cs="Arial"/>
                <w:b/>
                <w:sz w:val="24"/>
                <w:szCs w:val="24"/>
              </w:rPr>
              <w:t>Impact on those affected</w:t>
            </w:r>
          </w:p>
        </w:tc>
        <w:tc>
          <w:tcPr>
            <w:tcW w:w="6697" w:type="dxa"/>
            <w:tcBorders>
              <w:top w:val="single" w:sz="8" w:space="0" w:color="B4C6E7"/>
              <w:left w:val="single" w:sz="8" w:space="0" w:color="B4C6E7"/>
              <w:bottom w:val="single" w:sz="8" w:space="0" w:color="B4C6E7"/>
              <w:right w:val="single" w:sz="8" w:space="0" w:color="B4C6E7"/>
            </w:tcBorders>
            <w:shd w:val="clear" w:color="auto" w:fill="D9E2F3"/>
          </w:tcPr>
          <w:p w:rsidR="00354FB6" w:rsidRPr="009D211D" w:rsidRDefault="00354FB6" w:rsidP="00792BEA">
            <w:pPr>
              <w:pStyle w:val="Default"/>
              <w:numPr>
                <w:ilvl w:val="0"/>
                <w:numId w:val="14"/>
              </w:numPr>
            </w:pPr>
            <w:r w:rsidRPr="009D211D">
              <w:t>People: physical, psychological, loss of trust (patients, family, caregivers</w:t>
            </w:r>
            <w:r w:rsidR="009B2BAD" w:rsidRPr="009D211D">
              <w:t xml:space="preserve"> and staff</w:t>
            </w:r>
            <w:r w:rsidRPr="009D211D">
              <w:t xml:space="preserve">) </w:t>
            </w:r>
          </w:p>
          <w:p w:rsidR="00354FB6" w:rsidRPr="009D211D" w:rsidRDefault="00354FB6" w:rsidP="00792BEA">
            <w:pPr>
              <w:pStyle w:val="Default"/>
              <w:numPr>
                <w:ilvl w:val="0"/>
                <w:numId w:val="14"/>
              </w:numPr>
            </w:pPr>
            <w:r w:rsidRPr="009D211D">
              <w:t xml:space="preserve">Service delivery: impact on quality and delivery of healthcare services; impact on capacity </w:t>
            </w:r>
          </w:p>
          <w:p w:rsidR="00354FB6" w:rsidRPr="009D211D" w:rsidRDefault="00354FB6" w:rsidP="00792BEA">
            <w:pPr>
              <w:pStyle w:val="Default"/>
              <w:numPr>
                <w:ilvl w:val="0"/>
                <w:numId w:val="14"/>
              </w:numPr>
            </w:pPr>
            <w:r w:rsidRPr="009D211D">
              <w:t xml:space="preserve">Public confidence: including political attention and media coverage </w:t>
            </w:r>
          </w:p>
        </w:tc>
      </w:tr>
      <w:tr w:rsidR="00354FB6" w:rsidRPr="009D211D" w:rsidTr="00792BEA">
        <w:trPr>
          <w:trHeight w:val="277"/>
        </w:trPr>
        <w:tc>
          <w:tcPr>
            <w:tcW w:w="2835" w:type="dxa"/>
            <w:tcBorders>
              <w:right w:val="single" w:sz="8" w:space="0" w:color="B4C6E7"/>
            </w:tcBorders>
            <w:shd w:val="clear" w:color="auto" w:fill="auto"/>
          </w:tcPr>
          <w:p w:rsidR="00354FB6" w:rsidRPr="009D211D" w:rsidRDefault="00354FB6" w:rsidP="00792BEA">
            <w:pPr>
              <w:jc w:val="left"/>
              <w:rPr>
                <w:rFonts w:cs="Arial"/>
                <w:b/>
                <w:sz w:val="24"/>
                <w:szCs w:val="24"/>
              </w:rPr>
            </w:pPr>
            <w:r w:rsidRPr="009D211D">
              <w:rPr>
                <w:rFonts w:cs="Arial"/>
                <w:b/>
                <w:sz w:val="24"/>
                <w:szCs w:val="24"/>
              </w:rPr>
              <w:t>Likelihood of occurrence</w:t>
            </w:r>
          </w:p>
        </w:tc>
        <w:tc>
          <w:tcPr>
            <w:tcW w:w="6697" w:type="dxa"/>
            <w:tcBorders>
              <w:top w:val="single" w:sz="8" w:space="0" w:color="B4C6E7"/>
              <w:left w:val="single" w:sz="8" w:space="0" w:color="B4C6E7"/>
              <w:bottom w:val="single" w:sz="8" w:space="0" w:color="B4C6E7"/>
              <w:right w:val="single" w:sz="8" w:space="0" w:color="B4C6E7"/>
            </w:tcBorders>
            <w:shd w:val="clear" w:color="auto" w:fill="auto"/>
          </w:tcPr>
          <w:p w:rsidR="00354FB6" w:rsidRPr="009D211D" w:rsidRDefault="00354FB6" w:rsidP="00792BEA">
            <w:pPr>
              <w:pStyle w:val="Default"/>
              <w:numPr>
                <w:ilvl w:val="0"/>
                <w:numId w:val="14"/>
              </w:numPr>
            </w:pPr>
            <w:r w:rsidRPr="009D211D">
              <w:t xml:space="preserve">Persistence of the risk </w:t>
            </w:r>
          </w:p>
          <w:p w:rsidR="00354FB6" w:rsidRPr="009D211D" w:rsidRDefault="00354FB6" w:rsidP="00792BEA">
            <w:pPr>
              <w:pStyle w:val="Default"/>
              <w:numPr>
                <w:ilvl w:val="0"/>
                <w:numId w:val="14"/>
              </w:numPr>
            </w:pPr>
            <w:r w:rsidRPr="009D211D">
              <w:t>Frequency or emerging theme</w:t>
            </w:r>
          </w:p>
          <w:p w:rsidR="00354FB6" w:rsidRPr="009D211D" w:rsidRDefault="00354FB6" w:rsidP="00792BEA">
            <w:pPr>
              <w:pStyle w:val="Default"/>
              <w:numPr>
                <w:ilvl w:val="0"/>
                <w:numId w:val="14"/>
              </w:numPr>
            </w:pPr>
            <w:r w:rsidRPr="009D211D">
              <w:t xml:space="preserve">Potential to escalate </w:t>
            </w:r>
          </w:p>
        </w:tc>
      </w:tr>
    </w:tbl>
    <w:p w:rsidR="009D211D" w:rsidRDefault="00C360CC" w:rsidP="009D211D">
      <w:pPr>
        <w:spacing w:before="240"/>
        <w:jc w:val="left"/>
        <w:rPr>
          <w:rFonts w:cs="Arial"/>
          <w:b/>
          <w:color w:val="auto"/>
          <w:spacing w:val="0"/>
          <w:sz w:val="24"/>
          <w:szCs w:val="24"/>
        </w:rPr>
      </w:pPr>
      <w:r w:rsidRPr="009D211D">
        <w:rPr>
          <w:rFonts w:cs="Arial"/>
          <w:b/>
          <w:color w:val="auto"/>
          <w:spacing w:val="0"/>
          <w:sz w:val="24"/>
          <w:szCs w:val="24"/>
        </w:rPr>
        <w:t>3.2 Local</w:t>
      </w:r>
      <w:r w:rsidRPr="009D211D">
        <w:rPr>
          <w:b/>
          <w:spacing w:val="0"/>
          <w:sz w:val="24"/>
          <w:szCs w:val="24"/>
        </w:rPr>
        <w:t xml:space="preserve"> defined responses</w:t>
      </w:r>
    </w:p>
    <w:p w:rsidR="009D211D" w:rsidRPr="00455CCC" w:rsidRDefault="00C360CC" w:rsidP="009D211D">
      <w:pPr>
        <w:spacing w:before="240"/>
        <w:jc w:val="left"/>
        <w:rPr>
          <w:rFonts w:cs="Arial"/>
          <w:color w:val="auto"/>
          <w:spacing w:val="0"/>
          <w:sz w:val="24"/>
          <w:szCs w:val="24"/>
        </w:rPr>
      </w:pPr>
      <w:r w:rsidRPr="00455CCC">
        <w:rPr>
          <w:rFonts w:cs="Arial"/>
          <w:color w:val="auto"/>
          <w:spacing w:val="0"/>
          <w:sz w:val="24"/>
          <w:szCs w:val="24"/>
        </w:rPr>
        <w:t>The below table provides details of our agreed local priorities for PSII based on highest levels of patient safety risk identified from our data analysis. Improvement plans and other learning response tools will be used to support learning fr</w:t>
      </w:r>
      <w:r w:rsidR="00C92A42" w:rsidRPr="00455CCC">
        <w:rPr>
          <w:rFonts w:cs="Arial"/>
          <w:color w:val="auto"/>
          <w:spacing w:val="0"/>
          <w:sz w:val="24"/>
          <w:szCs w:val="24"/>
        </w:rPr>
        <w:t>o</w:t>
      </w:r>
      <w:r w:rsidRPr="00455CCC">
        <w:rPr>
          <w:rFonts w:cs="Arial"/>
          <w:color w:val="auto"/>
          <w:spacing w:val="0"/>
          <w:sz w:val="24"/>
          <w:szCs w:val="24"/>
        </w:rPr>
        <w:t xml:space="preserve">m incidents that does not meet the PSII priorities as laid out in the table below. </w:t>
      </w:r>
      <w:r w:rsidR="00D62393" w:rsidRPr="00455CCC">
        <w:rPr>
          <w:rFonts w:cs="Arial"/>
          <w:color w:val="auto"/>
          <w:spacing w:val="0"/>
          <w:sz w:val="24"/>
          <w:szCs w:val="24"/>
        </w:rPr>
        <w:t xml:space="preserve">However, the Patient Safety Oversight and Learning Response Group will provide guidance on decisions for </w:t>
      </w:r>
      <w:r w:rsidR="00C92A42" w:rsidRPr="00455CCC">
        <w:rPr>
          <w:rFonts w:cs="Arial"/>
          <w:color w:val="auto"/>
          <w:spacing w:val="0"/>
          <w:sz w:val="24"/>
          <w:szCs w:val="24"/>
        </w:rPr>
        <w:t xml:space="preserve">other </w:t>
      </w:r>
      <w:r w:rsidR="00D62393" w:rsidRPr="00455CCC">
        <w:rPr>
          <w:rFonts w:cs="Arial"/>
          <w:color w:val="auto"/>
          <w:spacing w:val="0"/>
          <w:sz w:val="24"/>
          <w:szCs w:val="24"/>
        </w:rPr>
        <w:t>learning responses</w:t>
      </w:r>
      <w:r w:rsidR="00C92A42" w:rsidRPr="00455CCC">
        <w:rPr>
          <w:rFonts w:cs="Arial"/>
          <w:color w:val="auto"/>
          <w:spacing w:val="0"/>
          <w:sz w:val="24"/>
          <w:szCs w:val="24"/>
        </w:rPr>
        <w:t xml:space="preserve"> relating to service specific review process</w:t>
      </w:r>
      <w:r w:rsidR="00D62393" w:rsidRPr="00455CCC">
        <w:rPr>
          <w:rFonts w:cs="Arial"/>
          <w:color w:val="auto"/>
          <w:spacing w:val="0"/>
          <w:sz w:val="24"/>
          <w:szCs w:val="24"/>
        </w:rPr>
        <w:t xml:space="preserve">.  </w:t>
      </w:r>
    </w:p>
    <w:p w:rsidR="00C360CC" w:rsidRPr="00455CCC" w:rsidRDefault="00C360CC" w:rsidP="00C360CC">
      <w:pPr>
        <w:spacing w:before="240"/>
        <w:jc w:val="left"/>
        <w:rPr>
          <w:sz w:val="24"/>
          <w:szCs w:val="24"/>
        </w:rPr>
      </w:pPr>
      <w:r w:rsidRPr="00455CCC">
        <w:rPr>
          <w:sz w:val="24"/>
          <w:szCs w:val="24"/>
        </w:rPr>
        <w:t>Thematic reviews sampling technique will ensure a minimum of five and maximum of 20 incidents chosen for review. This will be presented on a quarterly basis to the patient safety team.</w:t>
      </w:r>
    </w:p>
    <w:p w:rsidR="00C360CC" w:rsidRDefault="00C360CC" w:rsidP="00C360CC">
      <w:pPr>
        <w:spacing w:before="240"/>
        <w:jc w:val="left"/>
        <w:rPr>
          <w:sz w:val="24"/>
          <w:szCs w:val="24"/>
        </w:rPr>
      </w:pPr>
      <w:r w:rsidRPr="00455CCC">
        <w:rPr>
          <w:sz w:val="24"/>
          <w:szCs w:val="24"/>
        </w:rPr>
        <w:t>Positive learning opportunities will enable staff to share experiences or learning from things that have gone well whilst delivering care using the most suited learning response.</w:t>
      </w:r>
    </w:p>
    <w:p w:rsidR="009D211D" w:rsidRDefault="00792BEA" w:rsidP="009D211D">
      <w:pPr>
        <w:spacing w:before="240"/>
        <w:jc w:val="left"/>
        <w:rPr>
          <w:rFonts w:cs="Arial"/>
          <w:b/>
          <w:color w:val="auto"/>
          <w:spacing w:val="0"/>
          <w:sz w:val="24"/>
          <w:szCs w:val="24"/>
        </w:rPr>
      </w:pPr>
      <w:r>
        <w:rPr>
          <w:rFonts w:cs="Arial"/>
          <w:b/>
          <w:color w:val="auto"/>
          <w:spacing w:val="0"/>
          <w:sz w:val="24"/>
          <w:szCs w:val="24"/>
        </w:rPr>
        <w:lastRenderedPageBreak/>
        <w:t>3.3</w:t>
      </w:r>
    </w:p>
    <w:p w:rsidR="00792BEA" w:rsidRDefault="00792BEA" w:rsidP="009D211D">
      <w:pPr>
        <w:spacing w:before="240"/>
        <w:jc w:val="left"/>
        <w:rPr>
          <w:rFonts w:cs="Arial"/>
          <w:b/>
          <w:color w:val="auto"/>
          <w:spacing w:val="0"/>
          <w:sz w:val="24"/>
          <w:szCs w:val="24"/>
        </w:rPr>
      </w:pPr>
    </w:p>
    <w:p w:rsidR="007D71FF" w:rsidRPr="009D211D" w:rsidRDefault="007D71FF" w:rsidP="009D211D">
      <w:pPr>
        <w:spacing w:before="240"/>
        <w:jc w:val="left"/>
        <w:rPr>
          <w:sz w:val="24"/>
          <w:szCs w:val="24"/>
        </w:rPr>
      </w:pPr>
    </w:p>
    <w:tbl>
      <w:tblPr>
        <w:tblpPr w:leftFromText="180" w:rightFromText="180" w:vertAnchor="page" w:horzAnchor="margin" w:tblpX="-68" w:tblpY="1228"/>
        <w:tblW w:w="10524" w:type="dxa"/>
        <w:tblBorders>
          <w:top w:val="single" w:sz="8" w:space="0" w:color="8EAADB"/>
          <w:left w:val="single" w:sz="8" w:space="0" w:color="8EAADB"/>
          <w:bottom w:val="single" w:sz="8" w:space="0" w:color="8EAADB"/>
          <w:right w:val="single" w:sz="8" w:space="0" w:color="8EAADB"/>
          <w:insideH w:val="single" w:sz="8" w:space="0" w:color="8EAADB"/>
          <w:insideV w:val="single" w:sz="8" w:space="0" w:color="8EAADB"/>
        </w:tblBorders>
        <w:tblLayout w:type="fixed"/>
        <w:tblLook w:val="04A0" w:firstRow="1" w:lastRow="0" w:firstColumn="1" w:lastColumn="0" w:noHBand="0" w:noVBand="1"/>
      </w:tblPr>
      <w:tblGrid>
        <w:gridCol w:w="534"/>
        <w:gridCol w:w="2126"/>
        <w:gridCol w:w="3152"/>
        <w:gridCol w:w="1843"/>
        <w:gridCol w:w="2869"/>
      </w:tblGrid>
      <w:tr w:rsidR="00C360CC" w:rsidRPr="009D211D" w:rsidTr="00D57AC9">
        <w:trPr>
          <w:trHeight w:val="262"/>
        </w:trPr>
        <w:tc>
          <w:tcPr>
            <w:tcW w:w="2660" w:type="dxa"/>
            <w:gridSpan w:val="2"/>
            <w:vMerge w:val="restart"/>
            <w:shd w:val="clear" w:color="auto" w:fill="2F5496"/>
          </w:tcPr>
          <w:p w:rsidR="00C360CC" w:rsidRPr="009D211D" w:rsidRDefault="00C360CC" w:rsidP="00C92A42">
            <w:pPr>
              <w:tabs>
                <w:tab w:val="left" w:pos="806"/>
              </w:tabs>
              <w:jc w:val="left"/>
              <w:rPr>
                <w:rFonts w:cs="Arial"/>
                <w:b/>
                <w:color w:val="FFFFFF"/>
                <w:sz w:val="24"/>
                <w:szCs w:val="24"/>
              </w:rPr>
            </w:pPr>
            <w:bookmarkStart w:id="23" w:name="_Hlk145925689"/>
            <w:r w:rsidRPr="009D211D">
              <w:rPr>
                <w:rFonts w:cs="Arial"/>
                <w:b/>
                <w:color w:val="FFFFFF"/>
                <w:sz w:val="24"/>
                <w:szCs w:val="24"/>
              </w:rPr>
              <w:t>Incident type</w:t>
            </w:r>
          </w:p>
        </w:tc>
        <w:tc>
          <w:tcPr>
            <w:tcW w:w="3152" w:type="dxa"/>
            <w:vMerge w:val="restart"/>
            <w:shd w:val="clear" w:color="auto" w:fill="2F5496"/>
          </w:tcPr>
          <w:p w:rsidR="00C360CC" w:rsidRPr="009D211D" w:rsidRDefault="00C360CC" w:rsidP="00C92A42">
            <w:pPr>
              <w:tabs>
                <w:tab w:val="left" w:pos="806"/>
              </w:tabs>
              <w:jc w:val="left"/>
              <w:rPr>
                <w:rFonts w:cs="Arial"/>
                <w:b/>
                <w:color w:val="FFFFFF"/>
                <w:sz w:val="24"/>
                <w:szCs w:val="24"/>
              </w:rPr>
            </w:pPr>
            <w:r w:rsidRPr="009D211D">
              <w:rPr>
                <w:rFonts w:cs="Arial"/>
                <w:b/>
                <w:color w:val="FFFFFF"/>
                <w:sz w:val="24"/>
                <w:szCs w:val="24"/>
              </w:rPr>
              <w:t>Description</w:t>
            </w:r>
          </w:p>
        </w:tc>
        <w:tc>
          <w:tcPr>
            <w:tcW w:w="4712" w:type="dxa"/>
            <w:gridSpan w:val="2"/>
            <w:tcBorders>
              <w:bottom w:val="single" w:sz="4" w:space="0" w:color="4472C4"/>
            </w:tcBorders>
            <w:shd w:val="clear" w:color="auto" w:fill="2F5496"/>
          </w:tcPr>
          <w:p w:rsidR="00C360CC" w:rsidRPr="009D211D" w:rsidRDefault="00C360CC" w:rsidP="00C92A42">
            <w:pPr>
              <w:tabs>
                <w:tab w:val="left" w:pos="806"/>
              </w:tabs>
              <w:jc w:val="center"/>
              <w:rPr>
                <w:rFonts w:cs="Arial"/>
                <w:b/>
                <w:color w:val="FFFFFF"/>
                <w:sz w:val="24"/>
                <w:szCs w:val="24"/>
              </w:rPr>
            </w:pPr>
            <w:r w:rsidRPr="009D211D">
              <w:rPr>
                <w:rFonts w:cs="Arial"/>
                <w:b/>
                <w:color w:val="FFFFFF"/>
                <w:sz w:val="24"/>
                <w:szCs w:val="24"/>
              </w:rPr>
              <w:t>Response type</w:t>
            </w:r>
          </w:p>
        </w:tc>
      </w:tr>
      <w:tr w:rsidR="00C360CC" w:rsidRPr="009D211D" w:rsidTr="00D57AC9">
        <w:trPr>
          <w:trHeight w:val="113"/>
        </w:trPr>
        <w:tc>
          <w:tcPr>
            <w:tcW w:w="2660" w:type="dxa"/>
            <w:gridSpan w:val="2"/>
            <w:vMerge/>
            <w:shd w:val="clear" w:color="auto" w:fill="2F5496"/>
          </w:tcPr>
          <w:p w:rsidR="00C360CC" w:rsidRPr="009D211D" w:rsidRDefault="00C360CC" w:rsidP="00C92A42">
            <w:pPr>
              <w:tabs>
                <w:tab w:val="left" w:pos="806"/>
              </w:tabs>
              <w:jc w:val="left"/>
              <w:rPr>
                <w:rFonts w:cs="Arial"/>
                <w:b/>
                <w:color w:val="FFFFFF"/>
                <w:sz w:val="24"/>
                <w:szCs w:val="24"/>
              </w:rPr>
            </w:pPr>
          </w:p>
        </w:tc>
        <w:tc>
          <w:tcPr>
            <w:tcW w:w="3152" w:type="dxa"/>
            <w:vMerge/>
            <w:shd w:val="clear" w:color="auto" w:fill="2F5496"/>
          </w:tcPr>
          <w:p w:rsidR="00C360CC" w:rsidRPr="009D211D" w:rsidRDefault="00C360CC" w:rsidP="00C92A42">
            <w:pPr>
              <w:tabs>
                <w:tab w:val="left" w:pos="806"/>
              </w:tabs>
              <w:jc w:val="left"/>
              <w:rPr>
                <w:rFonts w:cs="Arial"/>
                <w:b/>
                <w:color w:val="FFFFFF"/>
                <w:sz w:val="24"/>
                <w:szCs w:val="24"/>
              </w:rPr>
            </w:pPr>
          </w:p>
        </w:tc>
        <w:tc>
          <w:tcPr>
            <w:tcW w:w="1843" w:type="dxa"/>
            <w:tcBorders>
              <w:top w:val="single" w:sz="4" w:space="0" w:color="4472C4"/>
              <w:bottom w:val="single" w:sz="12" w:space="0" w:color="5B9BD5"/>
              <w:right w:val="single" w:sz="4" w:space="0" w:color="4472C4"/>
            </w:tcBorders>
            <w:shd w:val="clear" w:color="auto" w:fill="2F5496"/>
          </w:tcPr>
          <w:p w:rsidR="00C360CC" w:rsidRDefault="00C360CC" w:rsidP="00C92A42">
            <w:pPr>
              <w:tabs>
                <w:tab w:val="left" w:pos="806"/>
              </w:tabs>
              <w:jc w:val="left"/>
              <w:rPr>
                <w:rFonts w:cs="Arial"/>
                <w:b/>
                <w:color w:val="FFFFFF"/>
                <w:sz w:val="24"/>
                <w:szCs w:val="24"/>
              </w:rPr>
            </w:pPr>
            <w:r>
              <w:rPr>
                <w:rFonts w:cs="Arial"/>
                <w:b/>
                <w:color w:val="FFFFFF"/>
                <w:sz w:val="24"/>
                <w:szCs w:val="24"/>
              </w:rPr>
              <w:t>PSII</w:t>
            </w:r>
          </w:p>
          <w:p w:rsidR="00C360CC" w:rsidRPr="009D211D" w:rsidRDefault="00C360CC" w:rsidP="00C92A42">
            <w:pPr>
              <w:tabs>
                <w:tab w:val="left" w:pos="806"/>
              </w:tabs>
              <w:jc w:val="left"/>
              <w:rPr>
                <w:rFonts w:cs="Arial"/>
                <w:b/>
                <w:color w:val="FFFFFF"/>
                <w:sz w:val="24"/>
                <w:szCs w:val="24"/>
              </w:rPr>
            </w:pPr>
          </w:p>
        </w:tc>
        <w:tc>
          <w:tcPr>
            <w:tcW w:w="2869" w:type="dxa"/>
            <w:tcBorders>
              <w:top w:val="single" w:sz="4" w:space="0" w:color="4472C4"/>
              <w:left w:val="single" w:sz="4" w:space="0" w:color="4472C4"/>
              <w:right w:val="single" w:sz="4" w:space="0" w:color="auto"/>
            </w:tcBorders>
            <w:shd w:val="clear" w:color="auto" w:fill="2F5496"/>
          </w:tcPr>
          <w:p w:rsidR="00C360CC" w:rsidRDefault="00C360CC" w:rsidP="00C92A42">
            <w:pPr>
              <w:tabs>
                <w:tab w:val="left" w:pos="806"/>
              </w:tabs>
              <w:jc w:val="left"/>
              <w:rPr>
                <w:rFonts w:cs="Arial"/>
                <w:b/>
                <w:color w:val="FFFFFF"/>
                <w:sz w:val="24"/>
                <w:szCs w:val="24"/>
              </w:rPr>
            </w:pPr>
            <w:r>
              <w:rPr>
                <w:rFonts w:cs="Arial"/>
                <w:b/>
                <w:color w:val="FFFFFF"/>
                <w:sz w:val="24"/>
                <w:szCs w:val="24"/>
              </w:rPr>
              <w:t xml:space="preserve">Other </w:t>
            </w:r>
          </w:p>
          <w:p w:rsidR="00C360CC" w:rsidRPr="009D211D" w:rsidRDefault="00C360CC" w:rsidP="00C92A42">
            <w:pPr>
              <w:tabs>
                <w:tab w:val="left" w:pos="806"/>
              </w:tabs>
              <w:jc w:val="left"/>
              <w:rPr>
                <w:rFonts w:cs="Arial"/>
                <w:b/>
                <w:color w:val="FFFFFF"/>
                <w:sz w:val="24"/>
                <w:szCs w:val="24"/>
              </w:rPr>
            </w:pPr>
            <w:r>
              <w:rPr>
                <w:rFonts w:cs="Arial"/>
                <w:b/>
                <w:color w:val="FFFFFF"/>
                <w:sz w:val="24"/>
                <w:szCs w:val="24"/>
              </w:rPr>
              <w:t>learning response</w:t>
            </w:r>
          </w:p>
        </w:tc>
      </w:tr>
      <w:bookmarkEnd w:id="23"/>
      <w:tr w:rsidR="00C360CC" w:rsidRPr="009D211D" w:rsidTr="00D57AC9">
        <w:tc>
          <w:tcPr>
            <w:tcW w:w="534" w:type="dxa"/>
            <w:shd w:val="clear" w:color="auto" w:fill="auto"/>
          </w:tcPr>
          <w:p w:rsidR="00C360CC" w:rsidRPr="009D211D" w:rsidRDefault="00C360CC" w:rsidP="00C92A42">
            <w:pPr>
              <w:tabs>
                <w:tab w:val="left" w:pos="806"/>
              </w:tabs>
              <w:jc w:val="left"/>
              <w:rPr>
                <w:rFonts w:cs="Arial"/>
                <w:sz w:val="24"/>
                <w:szCs w:val="24"/>
              </w:rPr>
            </w:pPr>
            <w:r>
              <w:rPr>
                <w:rFonts w:cs="Arial"/>
                <w:sz w:val="24"/>
                <w:szCs w:val="24"/>
              </w:rPr>
              <w:t>1</w:t>
            </w:r>
          </w:p>
        </w:tc>
        <w:tc>
          <w:tcPr>
            <w:tcW w:w="2126" w:type="dxa"/>
            <w:shd w:val="clear" w:color="auto" w:fill="auto"/>
          </w:tcPr>
          <w:p w:rsidR="00C360CC" w:rsidRPr="009D211D" w:rsidRDefault="00C360CC" w:rsidP="00C92A42">
            <w:pPr>
              <w:tabs>
                <w:tab w:val="left" w:pos="806"/>
              </w:tabs>
              <w:jc w:val="left"/>
              <w:rPr>
                <w:rFonts w:cs="Arial"/>
                <w:sz w:val="24"/>
                <w:szCs w:val="24"/>
              </w:rPr>
            </w:pPr>
            <w:r w:rsidRPr="009D211D">
              <w:rPr>
                <w:rFonts w:cs="Arial"/>
                <w:sz w:val="24"/>
                <w:szCs w:val="24"/>
              </w:rPr>
              <w:t>Medic</w:t>
            </w:r>
            <w:r w:rsidR="00A1042A">
              <w:rPr>
                <w:rFonts w:cs="Arial"/>
                <w:sz w:val="24"/>
                <w:szCs w:val="24"/>
              </w:rPr>
              <w:t>ines Management</w:t>
            </w:r>
          </w:p>
        </w:tc>
        <w:tc>
          <w:tcPr>
            <w:tcW w:w="3152" w:type="dxa"/>
            <w:shd w:val="clear" w:color="auto" w:fill="auto"/>
          </w:tcPr>
          <w:p w:rsidR="00C360CC" w:rsidRPr="009D211D" w:rsidRDefault="00C360CC" w:rsidP="00C92A42">
            <w:pPr>
              <w:tabs>
                <w:tab w:val="left" w:pos="806"/>
              </w:tabs>
              <w:jc w:val="left"/>
              <w:rPr>
                <w:rFonts w:cs="Arial"/>
                <w:sz w:val="24"/>
                <w:szCs w:val="24"/>
              </w:rPr>
            </w:pPr>
            <w:r w:rsidRPr="009D211D">
              <w:rPr>
                <w:rFonts w:cs="Arial"/>
                <w:sz w:val="24"/>
                <w:szCs w:val="24"/>
              </w:rPr>
              <w:t xml:space="preserve">Prescribing </w:t>
            </w:r>
            <w:r w:rsidR="00A1042A" w:rsidRPr="00A1042A">
              <w:rPr>
                <w:rFonts w:cs="Arial"/>
                <w:sz w:val="24"/>
                <w:szCs w:val="24"/>
              </w:rPr>
              <w:t>administration</w:t>
            </w:r>
            <w:r w:rsidR="00A1042A">
              <w:rPr>
                <w:rFonts w:cs="Arial"/>
                <w:sz w:val="24"/>
                <w:szCs w:val="24"/>
              </w:rPr>
              <w:t xml:space="preserve"> and </w:t>
            </w:r>
            <w:r w:rsidR="00A1042A" w:rsidRPr="00A1042A">
              <w:rPr>
                <w:rFonts w:cs="Arial"/>
                <w:sz w:val="24"/>
                <w:szCs w:val="24"/>
              </w:rPr>
              <w:t xml:space="preserve">storage </w:t>
            </w:r>
            <w:r w:rsidRPr="009D211D">
              <w:rPr>
                <w:rFonts w:cs="Arial"/>
                <w:sz w:val="24"/>
                <w:szCs w:val="24"/>
              </w:rPr>
              <w:t>incidents including End of life care</w:t>
            </w:r>
            <w:r>
              <w:rPr>
                <w:rFonts w:cs="Arial"/>
                <w:sz w:val="24"/>
                <w:szCs w:val="24"/>
              </w:rPr>
              <w:t xml:space="preserve"> leading to significant impact</w:t>
            </w:r>
          </w:p>
        </w:tc>
        <w:tc>
          <w:tcPr>
            <w:tcW w:w="1843" w:type="dxa"/>
            <w:tcBorders>
              <w:top w:val="single" w:sz="12" w:space="0" w:color="5B9BD5"/>
              <w:bottom w:val="single" w:sz="4" w:space="0" w:color="4472C4"/>
              <w:right w:val="single" w:sz="4" w:space="0" w:color="4472C4"/>
            </w:tcBorders>
            <w:shd w:val="clear" w:color="auto" w:fill="auto"/>
          </w:tcPr>
          <w:p w:rsidR="00C360CC" w:rsidRPr="009D211D" w:rsidRDefault="00C360CC" w:rsidP="00C92A42">
            <w:pPr>
              <w:tabs>
                <w:tab w:val="left" w:pos="806"/>
              </w:tabs>
              <w:jc w:val="left"/>
              <w:rPr>
                <w:rFonts w:cs="Arial"/>
                <w:sz w:val="24"/>
                <w:szCs w:val="24"/>
              </w:rPr>
            </w:pPr>
            <w:r w:rsidRPr="009D211D">
              <w:rPr>
                <w:rFonts w:cs="Arial"/>
                <w:sz w:val="24"/>
                <w:szCs w:val="24"/>
              </w:rPr>
              <w:t>Patient Safety Incident Investigation</w:t>
            </w:r>
          </w:p>
        </w:tc>
        <w:tc>
          <w:tcPr>
            <w:tcW w:w="2869" w:type="dxa"/>
            <w:tcBorders>
              <w:left w:val="single" w:sz="4" w:space="0" w:color="4472C4"/>
            </w:tcBorders>
            <w:shd w:val="clear" w:color="auto" w:fill="auto"/>
          </w:tcPr>
          <w:p w:rsidR="00C360CC" w:rsidRPr="009D211D" w:rsidRDefault="00A1042A" w:rsidP="00C92A42">
            <w:pPr>
              <w:tabs>
                <w:tab w:val="left" w:pos="806"/>
              </w:tabs>
              <w:jc w:val="left"/>
              <w:rPr>
                <w:rFonts w:cs="Arial"/>
                <w:sz w:val="24"/>
                <w:szCs w:val="24"/>
              </w:rPr>
            </w:pPr>
            <w:r w:rsidRPr="00A1042A">
              <w:rPr>
                <w:rFonts w:cs="Arial"/>
                <w:sz w:val="24"/>
                <w:szCs w:val="24"/>
              </w:rPr>
              <w:t>After Action Review</w:t>
            </w:r>
          </w:p>
        </w:tc>
      </w:tr>
      <w:tr w:rsidR="00C360CC" w:rsidRPr="009D211D" w:rsidTr="00D57AC9">
        <w:tc>
          <w:tcPr>
            <w:tcW w:w="534" w:type="dxa"/>
            <w:shd w:val="clear" w:color="auto" w:fill="auto"/>
          </w:tcPr>
          <w:p w:rsidR="00C360CC" w:rsidRPr="009D211D" w:rsidRDefault="00C360CC" w:rsidP="00C92A42">
            <w:pPr>
              <w:tabs>
                <w:tab w:val="left" w:pos="806"/>
              </w:tabs>
              <w:jc w:val="left"/>
              <w:rPr>
                <w:rFonts w:cs="Arial"/>
                <w:sz w:val="24"/>
                <w:szCs w:val="24"/>
              </w:rPr>
            </w:pPr>
            <w:r>
              <w:rPr>
                <w:rFonts w:cs="Arial"/>
                <w:sz w:val="24"/>
                <w:szCs w:val="24"/>
              </w:rPr>
              <w:t>2</w:t>
            </w:r>
          </w:p>
        </w:tc>
        <w:tc>
          <w:tcPr>
            <w:tcW w:w="2126" w:type="dxa"/>
            <w:shd w:val="clear" w:color="auto" w:fill="auto"/>
          </w:tcPr>
          <w:p w:rsidR="00C360CC" w:rsidRPr="009D211D" w:rsidRDefault="00C360CC" w:rsidP="00C92A42">
            <w:pPr>
              <w:tabs>
                <w:tab w:val="left" w:pos="806"/>
              </w:tabs>
              <w:jc w:val="left"/>
              <w:rPr>
                <w:rFonts w:cs="Arial"/>
                <w:sz w:val="24"/>
                <w:szCs w:val="24"/>
              </w:rPr>
            </w:pPr>
            <w:r w:rsidRPr="009D211D">
              <w:rPr>
                <w:rFonts w:cs="Arial"/>
                <w:sz w:val="24"/>
                <w:szCs w:val="24"/>
              </w:rPr>
              <w:t xml:space="preserve">Infection </w:t>
            </w:r>
          </w:p>
        </w:tc>
        <w:tc>
          <w:tcPr>
            <w:tcW w:w="3152" w:type="dxa"/>
            <w:shd w:val="clear" w:color="auto" w:fill="auto"/>
          </w:tcPr>
          <w:p w:rsidR="00C360CC" w:rsidRPr="009D211D" w:rsidRDefault="00C360CC" w:rsidP="00C92A42">
            <w:pPr>
              <w:tabs>
                <w:tab w:val="left" w:pos="806"/>
              </w:tabs>
              <w:jc w:val="left"/>
              <w:rPr>
                <w:rFonts w:cs="Arial"/>
                <w:sz w:val="24"/>
                <w:szCs w:val="24"/>
              </w:rPr>
            </w:pPr>
            <w:r w:rsidRPr="009D211D">
              <w:rPr>
                <w:rFonts w:cs="Arial"/>
                <w:sz w:val="24"/>
                <w:szCs w:val="24"/>
              </w:rPr>
              <w:t>All instances of healthcare acquired infections and issues with infection control procedures</w:t>
            </w:r>
          </w:p>
        </w:tc>
        <w:tc>
          <w:tcPr>
            <w:tcW w:w="1843" w:type="dxa"/>
            <w:tcBorders>
              <w:top w:val="single" w:sz="4" w:space="0" w:color="4472C4"/>
              <w:right w:val="single" w:sz="4" w:space="0" w:color="4472C4"/>
            </w:tcBorders>
            <w:shd w:val="clear" w:color="auto" w:fill="auto"/>
          </w:tcPr>
          <w:p w:rsidR="00C360CC" w:rsidRPr="009D211D" w:rsidRDefault="00C360CC" w:rsidP="00C92A42">
            <w:pPr>
              <w:tabs>
                <w:tab w:val="left" w:pos="806"/>
              </w:tabs>
              <w:jc w:val="left"/>
              <w:rPr>
                <w:rFonts w:cs="Arial"/>
                <w:sz w:val="24"/>
                <w:szCs w:val="24"/>
              </w:rPr>
            </w:pPr>
          </w:p>
        </w:tc>
        <w:tc>
          <w:tcPr>
            <w:tcW w:w="2869" w:type="dxa"/>
            <w:tcBorders>
              <w:left w:val="single" w:sz="4" w:space="0" w:color="4472C4"/>
            </w:tcBorders>
            <w:shd w:val="clear" w:color="auto" w:fill="auto"/>
          </w:tcPr>
          <w:p w:rsidR="00C92A42" w:rsidRDefault="00C92A42" w:rsidP="00C92A42">
            <w:pPr>
              <w:tabs>
                <w:tab w:val="left" w:pos="806"/>
              </w:tabs>
              <w:jc w:val="left"/>
              <w:rPr>
                <w:rFonts w:cs="Arial"/>
                <w:sz w:val="24"/>
                <w:szCs w:val="24"/>
              </w:rPr>
            </w:pPr>
            <w:r>
              <w:rPr>
                <w:rFonts w:cs="Arial"/>
                <w:sz w:val="24"/>
                <w:szCs w:val="24"/>
              </w:rPr>
              <w:t>Health Care Associated Infection (HCAI) local review</w:t>
            </w:r>
          </w:p>
          <w:p w:rsidR="00C360CC" w:rsidRPr="009D211D" w:rsidRDefault="00C360CC" w:rsidP="00C92A42">
            <w:pPr>
              <w:tabs>
                <w:tab w:val="left" w:pos="806"/>
              </w:tabs>
              <w:jc w:val="left"/>
              <w:rPr>
                <w:rFonts w:cs="Arial"/>
                <w:sz w:val="24"/>
                <w:szCs w:val="24"/>
              </w:rPr>
            </w:pPr>
            <w:r w:rsidRPr="009D211D">
              <w:rPr>
                <w:rFonts w:cs="Arial"/>
                <w:sz w:val="24"/>
                <w:szCs w:val="24"/>
              </w:rPr>
              <w:t>Outbreak review</w:t>
            </w:r>
          </w:p>
        </w:tc>
      </w:tr>
      <w:tr w:rsidR="00C360CC" w:rsidRPr="009D211D" w:rsidTr="00D57AC9">
        <w:trPr>
          <w:trHeight w:val="1092"/>
        </w:trPr>
        <w:tc>
          <w:tcPr>
            <w:tcW w:w="534" w:type="dxa"/>
            <w:shd w:val="clear" w:color="auto" w:fill="auto"/>
          </w:tcPr>
          <w:p w:rsidR="00C360CC" w:rsidRPr="009D211D" w:rsidRDefault="00C360CC" w:rsidP="00C92A42">
            <w:pPr>
              <w:tabs>
                <w:tab w:val="left" w:pos="806"/>
              </w:tabs>
              <w:jc w:val="left"/>
              <w:rPr>
                <w:rFonts w:cs="Arial"/>
                <w:sz w:val="24"/>
                <w:szCs w:val="24"/>
              </w:rPr>
            </w:pPr>
            <w:r>
              <w:rPr>
                <w:rFonts w:cs="Arial"/>
                <w:sz w:val="24"/>
                <w:szCs w:val="24"/>
              </w:rPr>
              <w:t>3</w:t>
            </w:r>
          </w:p>
        </w:tc>
        <w:tc>
          <w:tcPr>
            <w:tcW w:w="2126" w:type="dxa"/>
            <w:shd w:val="clear" w:color="auto" w:fill="auto"/>
          </w:tcPr>
          <w:p w:rsidR="00C360CC" w:rsidRPr="009D211D" w:rsidRDefault="00C360CC" w:rsidP="00C92A42">
            <w:pPr>
              <w:tabs>
                <w:tab w:val="left" w:pos="806"/>
              </w:tabs>
              <w:jc w:val="left"/>
              <w:rPr>
                <w:rFonts w:cs="Arial"/>
                <w:sz w:val="24"/>
                <w:szCs w:val="24"/>
              </w:rPr>
            </w:pPr>
            <w:r w:rsidRPr="009D211D">
              <w:rPr>
                <w:rFonts w:cs="Arial"/>
                <w:sz w:val="24"/>
                <w:szCs w:val="24"/>
              </w:rPr>
              <w:t>Implementation of care or ongoing monitoring</w:t>
            </w:r>
          </w:p>
        </w:tc>
        <w:tc>
          <w:tcPr>
            <w:tcW w:w="3152" w:type="dxa"/>
            <w:shd w:val="clear" w:color="auto" w:fill="auto"/>
          </w:tcPr>
          <w:p w:rsidR="00C360CC" w:rsidRPr="009D211D" w:rsidRDefault="00C360CC" w:rsidP="00C92A42">
            <w:pPr>
              <w:tabs>
                <w:tab w:val="left" w:pos="806"/>
              </w:tabs>
              <w:jc w:val="left"/>
              <w:rPr>
                <w:rFonts w:cs="Arial"/>
                <w:sz w:val="24"/>
                <w:szCs w:val="24"/>
              </w:rPr>
            </w:pPr>
            <w:r w:rsidRPr="009D211D">
              <w:rPr>
                <w:rFonts w:cs="Arial"/>
                <w:sz w:val="24"/>
                <w:szCs w:val="24"/>
              </w:rPr>
              <w:t>Delays in recognising and treating a deteriorating patient</w:t>
            </w:r>
          </w:p>
        </w:tc>
        <w:tc>
          <w:tcPr>
            <w:tcW w:w="1843" w:type="dxa"/>
            <w:tcBorders>
              <w:right w:val="single" w:sz="4" w:space="0" w:color="4472C4"/>
            </w:tcBorders>
            <w:shd w:val="clear" w:color="auto" w:fill="auto"/>
          </w:tcPr>
          <w:p w:rsidR="00C360CC" w:rsidRPr="009D211D" w:rsidRDefault="00C360CC" w:rsidP="00C92A42">
            <w:pPr>
              <w:pStyle w:val="ListParagraph"/>
              <w:tabs>
                <w:tab w:val="left" w:pos="806"/>
              </w:tabs>
              <w:ind w:left="0"/>
              <w:contextualSpacing/>
              <w:jc w:val="left"/>
              <w:rPr>
                <w:rFonts w:cs="Arial"/>
                <w:sz w:val="24"/>
                <w:szCs w:val="24"/>
              </w:rPr>
            </w:pPr>
            <w:r w:rsidRPr="009D211D">
              <w:rPr>
                <w:rFonts w:cs="Arial"/>
                <w:sz w:val="24"/>
                <w:szCs w:val="24"/>
              </w:rPr>
              <w:t>Patient Safety Incident Investigation</w:t>
            </w:r>
          </w:p>
          <w:p w:rsidR="00C360CC" w:rsidRPr="009D211D" w:rsidRDefault="00C360CC" w:rsidP="00C92A42">
            <w:pPr>
              <w:pStyle w:val="ListParagraph"/>
              <w:tabs>
                <w:tab w:val="left" w:pos="806"/>
              </w:tabs>
              <w:contextualSpacing/>
              <w:jc w:val="left"/>
              <w:rPr>
                <w:rFonts w:cs="Arial"/>
                <w:sz w:val="24"/>
                <w:szCs w:val="24"/>
              </w:rPr>
            </w:pPr>
          </w:p>
        </w:tc>
        <w:tc>
          <w:tcPr>
            <w:tcW w:w="2869" w:type="dxa"/>
            <w:tcBorders>
              <w:left w:val="single" w:sz="4" w:space="0" w:color="4472C4"/>
            </w:tcBorders>
            <w:shd w:val="clear" w:color="auto" w:fill="auto"/>
          </w:tcPr>
          <w:p w:rsidR="00C360CC" w:rsidRPr="009D211D" w:rsidRDefault="00C360CC" w:rsidP="00C92A42">
            <w:pPr>
              <w:pStyle w:val="ListParagraph"/>
              <w:tabs>
                <w:tab w:val="left" w:pos="806"/>
              </w:tabs>
              <w:ind w:left="0"/>
              <w:contextualSpacing/>
              <w:jc w:val="left"/>
              <w:rPr>
                <w:rFonts w:cs="Arial"/>
                <w:sz w:val="24"/>
                <w:szCs w:val="24"/>
              </w:rPr>
            </w:pPr>
            <w:r w:rsidRPr="009D211D">
              <w:rPr>
                <w:rFonts w:cs="Arial"/>
                <w:sz w:val="24"/>
                <w:szCs w:val="24"/>
              </w:rPr>
              <w:t>Thematic review of failure to recognise the deteriorating patient</w:t>
            </w:r>
          </w:p>
        </w:tc>
      </w:tr>
      <w:tr w:rsidR="00C360CC" w:rsidRPr="009D211D" w:rsidTr="00D57AC9">
        <w:tc>
          <w:tcPr>
            <w:tcW w:w="534" w:type="dxa"/>
            <w:shd w:val="clear" w:color="auto" w:fill="auto"/>
          </w:tcPr>
          <w:p w:rsidR="00C360CC" w:rsidRPr="009D211D" w:rsidRDefault="00C360CC" w:rsidP="00C92A42">
            <w:pPr>
              <w:tabs>
                <w:tab w:val="left" w:pos="806"/>
              </w:tabs>
              <w:jc w:val="left"/>
              <w:rPr>
                <w:rFonts w:cs="Arial"/>
                <w:sz w:val="24"/>
                <w:szCs w:val="24"/>
              </w:rPr>
            </w:pPr>
            <w:r>
              <w:rPr>
                <w:rFonts w:cs="Arial"/>
                <w:sz w:val="24"/>
                <w:szCs w:val="24"/>
              </w:rPr>
              <w:t>4</w:t>
            </w:r>
          </w:p>
        </w:tc>
        <w:tc>
          <w:tcPr>
            <w:tcW w:w="2126" w:type="dxa"/>
            <w:shd w:val="clear" w:color="auto" w:fill="auto"/>
          </w:tcPr>
          <w:p w:rsidR="00C360CC" w:rsidRPr="009D211D" w:rsidRDefault="00C360CC" w:rsidP="00C92A42">
            <w:pPr>
              <w:tabs>
                <w:tab w:val="left" w:pos="806"/>
              </w:tabs>
              <w:jc w:val="left"/>
              <w:rPr>
                <w:rFonts w:cs="Arial"/>
                <w:sz w:val="24"/>
                <w:szCs w:val="24"/>
              </w:rPr>
            </w:pPr>
            <w:r w:rsidRPr="009D211D">
              <w:rPr>
                <w:rFonts w:cs="Arial"/>
                <w:sz w:val="24"/>
                <w:szCs w:val="24"/>
              </w:rPr>
              <w:t>Communication</w:t>
            </w:r>
          </w:p>
        </w:tc>
        <w:tc>
          <w:tcPr>
            <w:tcW w:w="3152" w:type="dxa"/>
            <w:shd w:val="clear" w:color="auto" w:fill="auto"/>
          </w:tcPr>
          <w:p w:rsidR="00C360CC" w:rsidRPr="009D211D" w:rsidRDefault="00C360CC" w:rsidP="00C92A42">
            <w:pPr>
              <w:tabs>
                <w:tab w:val="left" w:pos="806"/>
              </w:tabs>
              <w:jc w:val="left"/>
              <w:rPr>
                <w:rFonts w:cs="Arial"/>
                <w:sz w:val="24"/>
                <w:szCs w:val="24"/>
              </w:rPr>
            </w:pPr>
            <w:r w:rsidRPr="009D211D">
              <w:rPr>
                <w:rFonts w:cs="Arial"/>
                <w:sz w:val="24"/>
                <w:szCs w:val="24"/>
              </w:rPr>
              <w:t xml:space="preserve">Care plans or assessment completion affecting management </w:t>
            </w:r>
          </w:p>
        </w:tc>
        <w:tc>
          <w:tcPr>
            <w:tcW w:w="1843" w:type="dxa"/>
            <w:tcBorders>
              <w:right w:val="single" w:sz="4" w:space="0" w:color="4472C4"/>
            </w:tcBorders>
            <w:shd w:val="clear" w:color="auto" w:fill="auto"/>
          </w:tcPr>
          <w:p w:rsidR="00C360CC" w:rsidRPr="009D211D" w:rsidRDefault="00C360CC" w:rsidP="00C92A42">
            <w:pPr>
              <w:tabs>
                <w:tab w:val="left" w:pos="806"/>
              </w:tabs>
              <w:jc w:val="left"/>
              <w:rPr>
                <w:rFonts w:cs="Arial"/>
                <w:sz w:val="24"/>
                <w:szCs w:val="24"/>
              </w:rPr>
            </w:pPr>
            <w:r w:rsidRPr="009D211D">
              <w:rPr>
                <w:rFonts w:cs="Arial"/>
                <w:sz w:val="24"/>
                <w:szCs w:val="24"/>
              </w:rPr>
              <w:t>Patient Safety Incident Investigation</w:t>
            </w:r>
          </w:p>
        </w:tc>
        <w:tc>
          <w:tcPr>
            <w:tcW w:w="2869" w:type="dxa"/>
            <w:tcBorders>
              <w:left w:val="single" w:sz="4" w:space="0" w:color="4472C4"/>
            </w:tcBorders>
            <w:shd w:val="clear" w:color="auto" w:fill="auto"/>
          </w:tcPr>
          <w:p w:rsidR="00C360CC" w:rsidRPr="009D211D" w:rsidRDefault="00A1042A" w:rsidP="00C92A42">
            <w:pPr>
              <w:tabs>
                <w:tab w:val="left" w:pos="806"/>
              </w:tabs>
              <w:jc w:val="left"/>
              <w:rPr>
                <w:rFonts w:cs="Arial"/>
                <w:sz w:val="24"/>
                <w:szCs w:val="24"/>
              </w:rPr>
            </w:pPr>
            <w:r w:rsidRPr="00A1042A">
              <w:rPr>
                <w:rFonts w:cs="Arial"/>
                <w:sz w:val="24"/>
                <w:szCs w:val="24"/>
              </w:rPr>
              <w:t>After Action Review</w:t>
            </w:r>
          </w:p>
        </w:tc>
      </w:tr>
      <w:tr w:rsidR="00C360CC" w:rsidRPr="009D211D" w:rsidTr="00D57AC9">
        <w:tc>
          <w:tcPr>
            <w:tcW w:w="534" w:type="dxa"/>
            <w:shd w:val="clear" w:color="auto" w:fill="auto"/>
          </w:tcPr>
          <w:p w:rsidR="00C360CC" w:rsidRPr="009D211D" w:rsidRDefault="00C360CC" w:rsidP="00C92A42">
            <w:pPr>
              <w:tabs>
                <w:tab w:val="left" w:pos="806"/>
              </w:tabs>
              <w:jc w:val="left"/>
              <w:rPr>
                <w:rFonts w:cs="Arial"/>
                <w:sz w:val="24"/>
                <w:szCs w:val="24"/>
              </w:rPr>
            </w:pPr>
            <w:r>
              <w:rPr>
                <w:rFonts w:cs="Arial"/>
                <w:sz w:val="24"/>
                <w:szCs w:val="24"/>
              </w:rPr>
              <w:t>5</w:t>
            </w:r>
          </w:p>
        </w:tc>
        <w:tc>
          <w:tcPr>
            <w:tcW w:w="2126" w:type="dxa"/>
            <w:shd w:val="clear" w:color="auto" w:fill="auto"/>
          </w:tcPr>
          <w:p w:rsidR="00C360CC" w:rsidRPr="009D211D" w:rsidRDefault="00C360CC" w:rsidP="00C92A42">
            <w:pPr>
              <w:tabs>
                <w:tab w:val="left" w:pos="806"/>
              </w:tabs>
              <w:jc w:val="left"/>
              <w:rPr>
                <w:rFonts w:cs="Arial"/>
                <w:sz w:val="24"/>
                <w:szCs w:val="24"/>
              </w:rPr>
            </w:pPr>
            <w:r w:rsidRPr="009D211D">
              <w:rPr>
                <w:rFonts w:cs="Arial"/>
                <w:sz w:val="24"/>
                <w:szCs w:val="24"/>
              </w:rPr>
              <w:t>Slip Trip &amp; Falls</w:t>
            </w:r>
          </w:p>
        </w:tc>
        <w:tc>
          <w:tcPr>
            <w:tcW w:w="3152" w:type="dxa"/>
            <w:shd w:val="clear" w:color="auto" w:fill="auto"/>
          </w:tcPr>
          <w:p w:rsidR="00C360CC" w:rsidRPr="009D211D" w:rsidRDefault="00C360CC" w:rsidP="00C92A42">
            <w:pPr>
              <w:tabs>
                <w:tab w:val="left" w:pos="806"/>
              </w:tabs>
              <w:jc w:val="left"/>
              <w:rPr>
                <w:rFonts w:cs="Arial"/>
                <w:sz w:val="24"/>
                <w:szCs w:val="24"/>
              </w:rPr>
            </w:pPr>
            <w:r w:rsidRPr="009D211D">
              <w:rPr>
                <w:rFonts w:cs="Arial"/>
                <w:sz w:val="24"/>
                <w:szCs w:val="24"/>
              </w:rPr>
              <w:t>Patient falls that lead to injury</w:t>
            </w:r>
          </w:p>
        </w:tc>
        <w:tc>
          <w:tcPr>
            <w:tcW w:w="1843" w:type="dxa"/>
            <w:tcBorders>
              <w:right w:val="single" w:sz="4" w:space="0" w:color="4472C4"/>
            </w:tcBorders>
            <w:shd w:val="clear" w:color="auto" w:fill="auto"/>
          </w:tcPr>
          <w:p w:rsidR="00C360CC" w:rsidRPr="009D211D" w:rsidRDefault="00C360CC" w:rsidP="00C92A42">
            <w:pPr>
              <w:pStyle w:val="ListParagraph"/>
              <w:tabs>
                <w:tab w:val="left" w:pos="806"/>
              </w:tabs>
              <w:ind w:left="0"/>
              <w:contextualSpacing/>
              <w:jc w:val="left"/>
              <w:rPr>
                <w:rFonts w:cs="Arial"/>
                <w:sz w:val="24"/>
                <w:szCs w:val="24"/>
              </w:rPr>
            </w:pPr>
          </w:p>
        </w:tc>
        <w:tc>
          <w:tcPr>
            <w:tcW w:w="2869" w:type="dxa"/>
            <w:tcBorders>
              <w:left w:val="single" w:sz="4" w:space="0" w:color="4472C4"/>
            </w:tcBorders>
            <w:shd w:val="clear" w:color="auto" w:fill="auto"/>
          </w:tcPr>
          <w:p w:rsidR="00C360CC" w:rsidRPr="009D211D" w:rsidRDefault="00C360CC" w:rsidP="00C92A42">
            <w:pPr>
              <w:pStyle w:val="ListParagraph"/>
              <w:tabs>
                <w:tab w:val="left" w:pos="806"/>
              </w:tabs>
              <w:ind w:left="0"/>
              <w:contextualSpacing/>
              <w:jc w:val="left"/>
              <w:rPr>
                <w:rFonts w:cs="Arial"/>
                <w:sz w:val="24"/>
                <w:szCs w:val="24"/>
              </w:rPr>
            </w:pPr>
            <w:r w:rsidRPr="009D211D">
              <w:rPr>
                <w:rFonts w:cs="Arial"/>
                <w:sz w:val="24"/>
                <w:szCs w:val="24"/>
              </w:rPr>
              <w:t>Hot debrief</w:t>
            </w:r>
          </w:p>
          <w:p w:rsidR="00C360CC" w:rsidRDefault="00C360CC" w:rsidP="00C92A42">
            <w:pPr>
              <w:pStyle w:val="ListParagraph"/>
              <w:tabs>
                <w:tab w:val="left" w:pos="806"/>
              </w:tabs>
              <w:ind w:left="0"/>
              <w:contextualSpacing/>
              <w:jc w:val="left"/>
              <w:rPr>
                <w:rFonts w:cs="Arial"/>
                <w:sz w:val="24"/>
                <w:szCs w:val="24"/>
              </w:rPr>
            </w:pPr>
          </w:p>
          <w:p w:rsidR="00792BEA" w:rsidRPr="009D211D" w:rsidRDefault="00C360CC" w:rsidP="00C92A42">
            <w:pPr>
              <w:pStyle w:val="ListParagraph"/>
              <w:tabs>
                <w:tab w:val="left" w:pos="806"/>
              </w:tabs>
              <w:ind w:left="0"/>
              <w:contextualSpacing/>
              <w:jc w:val="left"/>
              <w:rPr>
                <w:rFonts w:cs="Arial"/>
                <w:sz w:val="24"/>
                <w:szCs w:val="24"/>
              </w:rPr>
            </w:pPr>
            <w:r w:rsidRPr="009D211D">
              <w:rPr>
                <w:rFonts w:cs="Arial"/>
                <w:sz w:val="24"/>
                <w:szCs w:val="24"/>
              </w:rPr>
              <w:t>Incidents reviewed at Falls Prevention Assurance group: Currently there is a Trust Community Hospital overarching plan</w:t>
            </w:r>
            <w:r w:rsidR="00792BEA">
              <w:rPr>
                <w:rFonts w:cs="Arial"/>
                <w:sz w:val="24"/>
                <w:szCs w:val="24"/>
              </w:rPr>
              <w:t xml:space="preserve"> and Thematic review is planned</w:t>
            </w:r>
          </w:p>
        </w:tc>
      </w:tr>
      <w:tr w:rsidR="00C360CC" w:rsidRPr="009D211D" w:rsidTr="00D57AC9">
        <w:tc>
          <w:tcPr>
            <w:tcW w:w="534" w:type="dxa"/>
            <w:shd w:val="clear" w:color="auto" w:fill="auto"/>
          </w:tcPr>
          <w:p w:rsidR="00C360CC" w:rsidRPr="009D211D" w:rsidRDefault="00C360CC" w:rsidP="00C92A42">
            <w:pPr>
              <w:tabs>
                <w:tab w:val="left" w:pos="806"/>
              </w:tabs>
              <w:jc w:val="left"/>
              <w:rPr>
                <w:rFonts w:cs="Arial"/>
                <w:sz w:val="24"/>
                <w:szCs w:val="24"/>
              </w:rPr>
            </w:pPr>
            <w:r>
              <w:rPr>
                <w:rFonts w:cs="Arial"/>
                <w:sz w:val="24"/>
                <w:szCs w:val="24"/>
              </w:rPr>
              <w:t>6</w:t>
            </w:r>
          </w:p>
        </w:tc>
        <w:tc>
          <w:tcPr>
            <w:tcW w:w="2126" w:type="dxa"/>
            <w:shd w:val="clear" w:color="auto" w:fill="auto"/>
          </w:tcPr>
          <w:p w:rsidR="00C360CC" w:rsidRPr="009D211D" w:rsidRDefault="00C360CC" w:rsidP="00C92A42">
            <w:pPr>
              <w:tabs>
                <w:tab w:val="left" w:pos="806"/>
              </w:tabs>
              <w:jc w:val="left"/>
              <w:rPr>
                <w:rFonts w:cs="Arial"/>
                <w:sz w:val="24"/>
                <w:szCs w:val="24"/>
              </w:rPr>
            </w:pPr>
            <w:r w:rsidRPr="009D211D">
              <w:rPr>
                <w:rFonts w:cs="Arial"/>
                <w:sz w:val="24"/>
                <w:szCs w:val="24"/>
              </w:rPr>
              <w:t>Pressure ulcers</w:t>
            </w:r>
          </w:p>
        </w:tc>
        <w:tc>
          <w:tcPr>
            <w:tcW w:w="3152" w:type="dxa"/>
            <w:shd w:val="clear" w:color="auto" w:fill="auto"/>
          </w:tcPr>
          <w:p w:rsidR="00C360CC" w:rsidRPr="009D211D" w:rsidRDefault="00C360CC" w:rsidP="00C92A42">
            <w:pPr>
              <w:tabs>
                <w:tab w:val="left" w:pos="806"/>
              </w:tabs>
              <w:jc w:val="left"/>
              <w:rPr>
                <w:rFonts w:cs="Arial"/>
                <w:sz w:val="24"/>
                <w:szCs w:val="24"/>
              </w:rPr>
            </w:pPr>
            <w:r w:rsidRPr="009D211D">
              <w:rPr>
                <w:rFonts w:cs="Arial"/>
                <w:sz w:val="24"/>
                <w:szCs w:val="24"/>
              </w:rPr>
              <w:t>All categories of pressure ulcer that occurred on our caseload</w:t>
            </w:r>
          </w:p>
        </w:tc>
        <w:tc>
          <w:tcPr>
            <w:tcW w:w="1843" w:type="dxa"/>
            <w:tcBorders>
              <w:right w:val="single" w:sz="4" w:space="0" w:color="4472C4"/>
            </w:tcBorders>
            <w:shd w:val="clear" w:color="auto" w:fill="auto"/>
          </w:tcPr>
          <w:p w:rsidR="00C360CC" w:rsidRPr="009D211D" w:rsidRDefault="00C360CC" w:rsidP="00C92A42">
            <w:pPr>
              <w:tabs>
                <w:tab w:val="left" w:pos="806"/>
              </w:tabs>
              <w:jc w:val="left"/>
              <w:rPr>
                <w:rFonts w:cs="Arial"/>
                <w:sz w:val="24"/>
                <w:szCs w:val="24"/>
              </w:rPr>
            </w:pPr>
          </w:p>
        </w:tc>
        <w:tc>
          <w:tcPr>
            <w:tcW w:w="2869" w:type="dxa"/>
            <w:tcBorders>
              <w:left w:val="single" w:sz="4" w:space="0" w:color="4472C4"/>
            </w:tcBorders>
            <w:shd w:val="clear" w:color="auto" w:fill="auto"/>
          </w:tcPr>
          <w:p w:rsidR="00C360CC" w:rsidRPr="009D211D" w:rsidRDefault="00C360CC" w:rsidP="00C92A42">
            <w:pPr>
              <w:tabs>
                <w:tab w:val="left" w:pos="806"/>
              </w:tabs>
              <w:jc w:val="left"/>
              <w:rPr>
                <w:rFonts w:cs="Arial"/>
                <w:sz w:val="24"/>
                <w:szCs w:val="24"/>
              </w:rPr>
            </w:pPr>
            <w:r w:rsidRPr="009D211D">
              <w:rPr>
                <w:rFonts w:cs="Arial"/>
                <w:sz w:val="24"/>
                <w:szCs w:val="24"/>
              </w:rPr>
              <w:t>Pressure Ulcer Innovation Group review and quarterly thematic reviews</w:t>
            </w:r>
          </w:p>
          <w:p w:rsidR="00C360CC" w:rsidRPr="009D211D" w:rsidRDefault="00C360CC" w:rsidP="00C92A42">
            <w:pPr>
              <w:tabs>
                <w:tab w:val="left" w:pos="806"/>
              </w:tabs>
              <w:jc w:val="left"/>
              <w:rPr>
                <w:rFonts w:cs="Arial"/>
                <w:sz w:val="24"/>
                <w:szCs w:val="24"/>
              </w:rPr>
            </w:pPr>
            <w:r w:rsidRPr="009D211D">
              <w:rPr>
                <w:rFonts w:cs="Arial"/>
                <w:sz w:val="24"/>
                <w:szCs w:val="24"/>
              </w:rPr>
              <w:t>Currently monitored by Tissue Viability Team</w:t>
            </w:r>
          </w:p>
        </w:tc>
      </w:tr>
      <w:tr w:rsidR="00C360CC" w:rsidRPr="009D211D" w:rsidTr="00D57AC9">
        <w:tc>
          <w:tcPr>
            <w:tcW w:w="534" w:type="dxa"/>
            <w:shd w:val="clear" w:color="auto" w:fill="auto"/>
          </w:tcPr>
          <w:p w:rsidR="00C360CC" w:rsidRPr="009D211D" w:rsidRDefault="00C360CC" w:rsidP="00C92A42">
            <w:pPr>
              <w:tabs>
                <w:tab w:val="left" w:pos="806"/>
              </w:tabs>
              <w:jc w:val="left"/>
              <w:rPr>
                <w:rFonts w:cs="Arial"/>
                <w:sz w:val="24"/>
                <w:szCs w:val="24"/>
              </w:rPr>
            </w:pPr>
            <w:r>
              <w:rPr>
                <w:rFonts w:cs="Arial"/>
                <w:sz w:val="24"/>
                <w:szCs w:val="24"/>
              </w:rPr>
              <w:t>7</w:t>
            </w:r>
          </w:p>
        </w:tc>
        <w:tc>
          <w:tcPr>
            <w:tcW w:w="2126" w:type="dxa"/>
            <w:shd w:val="clear" w:color="auto" w:fill="auto"/>
          </w:tcPr>
          <w:p w:rsidR="00C360CC" w:rsidRPr="009D211D" w:rsidRDefault="00C360CC" w:rsidP="00C92A42">
            <w:pPr>
              <w:tabs>
                <w:tab w:val="left" w:pos="806"/>
              </w:tabs>
              <w:jc w:val="left"/>
              <w:rPr>
                <w:rFonts w:cs="Arial"/>
                <w:sz w:val="24"/>
                <w:szCs w:val="24"/>
              </w:rPr>
            </w:pPr>
            <w:r w:rsidRPr="009D211D">
              <w:rPr>
                <w:rFonts w:cs="Arial"/>
                <w:sz w:val="24"/>
                <w:szCs w:val="24"/>
              </w:rPr>
              <w:t>Venous Thromboembolism</w:t>
            </w:r>
          </w:p>
        </w:tc>
        <w:tc>
          <w:tcPr>
            <w:tcW w:w="3152" w:type="dxa"/>
            <w:shd w:val="clear" w:color="auto" w:fill="auto"/>
          </w:tcPr>
          <w:p w:rsidR="00C360CC" w:rsidRPr="009D211D" w:rsidRDefault="00C360CC" w:rsidP="00C92A42">
            <w:pPr>
              <w:tabs>
                <w:tab w:val="left" w:pos="806"/>
              </w:tabs>
              <w:jc w:val="left"/>
              <w:rPr>
                <w:rFonts w:cs="Arial"/>
                <w:sz w:val="24"/>
                <w:szCs w:val="24"/>
              </w:rPr>
            </w:pPr>
            <w:r w:rsidRPr="009D211D">
              <w:rPr>
                <w:rFonts w:cs="Arial"/>
                <w:sz w:val="24"/>
                <w:szCs w:val="24"/>
              </w:rPr>
              <w:t>All VTE incidents</w:t>
            </w:r>
          </w:p>
        </w:tc>
        <w:tc>
          <w:tcPr>
            <w:tcW w:w="1843" w:type="dxa"/>
            <w:tcBorders>
              <w:right w:val="single" w:sz="4" w:space="0" w:color="4472C4"/>
            </w:tcBorders>
            <w:shd w:val="clear" w:color="auto" w:fill="auto"/>
          </w:tcPr>
          <w:p w:rsidR="00C360CC" w:rsidRPr="009D211D" w:rsidRDefault="00C360CC" w:rsidP="00C92A42">
            <w:pPr>
              <w:tabs>
                <w:tab w:val="left" w:pos="806"/>
              </w:tabs>
              <w:jc w:val="left"/>
              <w:rPr>
                <w:rFonts w:cs="Arial"/>
                <w:sz w:val="24"/>
                <w:szCs w:val="24"/>
              </w:rPr>
            </w:pPr>
          </w:p>
        </w:tc>
        <w:tc>
          <w:tcPr>
            <w:tcW w:w="2869" w:type="dxa"/>
            <w:tcBorders>
              <w:left w:val="single" w:sz="4" w:space="0" w:color="4472C4"/>
            </w:tcBorders>
            <w:shd w:val="clear" w:color="auto" w:fill="auto"/>
          </w:tcPr>
          <w:p w:rsidR="00C360CC" w:rsidRPr="009D211D" w:rsidRDefault="00C360CC" w:rsidP="00C92A42">
            <w:pPr>
              <w:tabs>
                <w:tab w:val="left" w:pos="806"/>
              </w:tabs>
              <w:jc w:val="left"/>
              <w:rPr>
                <w:rFonts w:cs="Arial"/>
                <w:sz w:val="24"/>
                <w:szCs w:val="24"/>
              </w:rPr>
            </w:pPr>
            <w:r w:rsidRPr="009D211D">
              <w:rPr>
                <w:rFonts w:cs="Arial"/>
                <w:sz w:val="24"/>
                <w:szCs w:val="24"/>
              </w:rPr>
              <w:t>After Action Review</w:t>
            </w:r>
          </w:p>
        </w:tc>
      </w:tr>
      <w:tr w:rsidR="00C360CC" w:rsidRPr="009D211D" w:rsidTr="00D57AC9">
        <w:tc>
          <w:tcPr>
            <w:tcW w:w="534" w:type="dxa"/>
            <w:shd w:val="clear" w:color="auto" w:fill="auto"/>
          </w:tcPr>
          <w:p w:rsidR="00C360CC" w:rsidRPr="009D211D" w:rsidRDefault="00C360CC" w:rsidP="00C92A42">
            <w:pPr>
              <w:tabs>
                <w:tab w:val="left" w:pos="806"/>
              </w:tabs>
              <w:jc w:val="left"/>
              <w:rPr>
                <w:rFonts w:cs="Arial"/>
                <w:sz w:val="24"/>
                <w:szCs w:val="24"/>
              </w:rPr>
            </w:pPr>
            <w:r>
              <w:rPr>
                <w:rFonts w:cs="Arial"/>
                <w:sz w:val="24"/>
                <w:szCs w:val="24"/>
              </w:rPr>
              <w:t>8</w:t>
            </w:r>
          </w:p>
        </w:tc>
        <w:tc>
          <w:tcPr>
            <w:tcW w:w="2126" w:type="dxa"/>
            <w:shd w:val="clear" w:color="auto" w:fill="auto"/>
          </w:tcPr>
          <w:p w:rsidR="00C360CC" w:rsidRPr="009D211D" w:rsidRDefault="00C360CC" w:rsidP="00C92A42">
            <w:pPr>
              <w:tabs>
                <w:tab w:val="left" w:pos="806"/>
              </w:tabs>
              <w:jc w:val="left"/>
              <w:rPr>
                <w:rFonts w:cs="Arial"/>
                <w:sz w:val="24"/>
                <w:szCs w:val="24"/>
              </w:rPr>
            </w:pPr>
            <w:r w:rsidRPr="009D211D">
              <w:rPr>
                <w:rFonts w:cs="Arial"/>
                <w:sz w:val="24"/>
                <w:szCs w:val="24"/>
              </w:rPr>
              <w:t xml:space="preserve">Diagnostic </w:t>
            </w:r>
          </w:p>
        </w:tc>
        <w:tc>
          <w:tcPr>
            <w:tcW w:w="3152" w:type="dxa"/>
            <w:shd w:val="clear" w:color="auto" w:fill="auto"/>
          </w:tcPr>
          <w:p w:rsidR="00C360CC" w:rsidRPr="009D211D" w:rsidRDefault="00C360CC" w:rsidP="00C92A42">
            <w:pPr>
              <w:tabs>
                <w:tab w:val="left" w:pos="806"/>
              </w:tabs>
              <w:jc w:val="left"/>
              <w:rPr>
                <w:rFonts w:cs="Arial"/>
                <w:color w:val="auto"/>
                <w:sz w:val="24"/>
                <w:szCs w:val="24"/>
              </w:rPr>
            </w:pPr>
            <w:r w:rsidRPr="009D211D">
              <w:rPr>
                <w:rFonts w:cs="Arial"/>
                <w:color w:val="auto"/>
                <w:sz w:val="24"/>
                <w:szCs w:val="24"/>
              </w:rPr>
              <w:t xml:space="preserve">Delayed and or missed diagnosis with regards to imaging, pathology and sharing results </w:t>
            </w:r>
          </w:p>
        </w:tc>
        <w:tc>
          <w:tcPr>
            <w:tcW w:w="1843" w:type="dxa"/>
            <w:tcBorders>
              <w:right w:val="single" w:sz="4" w:space="0" w:color="4472C4"/>
            </w:tcBorders>
            <w:shd w:val="clear" w:color="auto" w:fill="auto"/>
          </w:tcPr>
          <w:p w:rsidR="00C360CC" w:rsidRPr="009D211D" w:rsidRDefault="00C360CC" w:rsidP="00C92A42">
            <w:pPr>
              <w:tabs>
                <w:tab w:val="left" w:pos="806"/>
              </w:tabs>
              <w:jc w:val="left"/>
              <w:rPr>
                <w:rFonts w:cs="Arial"/>
                <w:sz w:val="24"/>
                <w:szCs w:val="24"/>
              </w:rPr>
            </w:pPr>
          </w:p>
        </w:tc>
        <w:tc>
          <w:tcPr>
            <w:tcW w:w="2869" w:type="dxa"/>
            <w:tcBorders>
              <w:left w:val="single" w:sz="4" w:space="0" w:color="4472C4"/>
            </w:tcBorders>
            <w:shd w:val="clear" w:color="auto" w:fill="auto"/>
          </w:tcPr>
          <w:p w:rsidR="00C360CC" w:rsidRPr="009D211D" w:rsidRDefault="00C360CC" w:rsidP="00C92A42">
            <w:pPr>
              <w:tabs>
                <w:tab w:val="left" w:pos="806"/>
              </w:tabs>
              <w:jc w:val="left"/>
              <w:rPr>
                <w:rFonts w:cs="Arial"/>
                <w:sz w:val="24"/>
                <w:szCs w:val="24"/>
              </w:rPr>
            </w:pPr>
            <w:r w:rsidRPr="009D211D">
              <w:rPr>
                <w:rFonts w:cs="Arial"/>
                <w:sz w:val="24"/>
                <w:szCs w:val="24"/>
              </w:rPr>
              <w:t>After Action Review</w:t>
            </w:r>
          </w:p>
        </w:tc>
      </w:tr>
      <w:tr w:rsidR="00C360CC" w:rsidRPr="009D211D" w:rsidTr="00D57AC9">
        <w:tc>
          <w:tcPr>
            <w:tcW w:w="534" w:type="dxa"/>
            <w:shd w:val="clear" w:color="auto" w:fill="auto"/>
          </w:tcPr>
          <w:p w:rsidR="00C360CC" w:rsidRPr="009D211D" w:rsidRDefault="00C360CC" w:rsidP="00C92A42">
            <w:pPr>
              <w:tabs>
                <w:tab w:val="left" w:pos="806"/>
              </w:tabs>
              <w:jc w:val="left"/>
              <w:rPr>
                <w:rFonts w:cs="Arial"/>
                <w:sz w:val="24"/>
                <w:szCs w:val="24"/>
              </w:rPr>
            </w:pPr>
            <w:r>
              <w:rPr>
                <w:rFonts w:cs="Arial"/>
                <w:sz w:val="24"/>
                <w:szCs w:val="24"/>
              </w:rPr>
              <w:t>9</w:t>
            </w:r>
          </w:p>
        </w:tc>
        <w:tc>
          <w:tcPr>
            <w:tcW w:w="2126" w:type="dxa"/>
            <w:shd w:val="clear" w:color="auto" w:fill="auto"/>
          </w:tcPr>
          <w:p w:rsidR="00C360CC" w:rsidRPr="009D211D" w:rsidRDefault="00C360CC" w:rsidP="00C92A42">
            <w:pPr>
              <w:tabs>
                <w:tab w:val="left" w:pos="806"/>
              </w:tabs>
              <w:jc w:val="left"/>
              <w:rPr>
                <w:rFonts w:cs="Arial"/>
                <w:sz w:val="24"/>
                <w:szCs w:val="24"/>
              </w:rPr>
            </w:pPr>
            <w:r w:rsidRPr="009D211D">
              <w:rPr>
                <w:rFonts w:cs="Arial"/>
                <w:sz w:val="24"/>
                <w:szCs w:val="24"/>
              </w:rPr>
              <w:t>Appointments, Admission, Transfer &amp; Discharge</w:t>
            </w:r>
          </w:p>
        </w:tc>
        <w:tc>
          <w:tcPr>
            <w:tcW w:w="3152" w:type="dxa"/>
            <w:shd w:val="clear" w:color="auto" w:fill="auto"/>
          </w:tcPr>
          <w:p w:rsidR="00C360CC" w:rsidRPr="009D211D" w:rsidRDefault="00C360CC" w:rsidP="00C92A42">
            <w:pPr>
              <w:tabs>
                <w:tab w:val="left" w:pos="806"/>
              </w:tabs>
              <w:jc w:val="left"/>
              <w:rPr>
                <w:rFonts w:cs="Arial"/>
                <w:sz w:val="24"/>
                <w:szCs w:val="24"/>
              </w:rPr>
            </w:pPr>
            <w:r w:rsidRPr="009D211D">
              <w:rPr>
                <w:rFonts w:cs="Arial"/>
                <w:sz w:val="24"/>
                <w:szCs w:val="24"/>
              </w:rPr>
              <w:t>Incidents regarding issues with transfer or discharge process</w:t>
            </w:r>
          </w:p>
        </w:tc>
        <w:tc>
          <w:tcPr>
            <w:tcW w:w="1843" w:type="dxa"/>
            <w:tcBorders>
              <w:right w:val="single" w:sz="4" w:space="0" w:color="4472C4"/>
            </w:tcBorders>
            <w:shd w:val="clear" w:color="auto" w:fill="auto"/>
          </w:tcPr>
          <w:p w:rsidR="00C360CC" w:rsidRPr="009D211D" w:rsidRDefault="00C360CC" w:rsidP="00C92A42">
            <w:pPr>
              <w:tabs>
                <w:tab w:val="left" w:pos="806"/>
              </w:tabs>
              <w:jc w:val="left"/>
              <w:rPr>
                <w:rFonts w:cs="Arial"/>
                <w:sz w:val="24"/>
                <w:szCs w:val="24"/>
              </w:rPr>
            </w:pPr>
          </w:p>
        </w:tc>
        <w:tc>
          <w:tcPr>
            <w:tcW w:w="2869" w:type="dxa"/>
            <w:tcBorders>
              <w:left w:val="single" w:sz="4" w:space="0" w:color="4472C4"/>
            </w:tcBorders>
            <w:shd w:val="clear" w:color="auto" w:fill="auto"/>
          </w:tcPr>
          <w:p w:rsidR="00C360CC" w:rsidRPr="009D211D" w:rsidRDefault="00C360CC" w:rsidP="00C92A42">
            <w:pPr>
              <w:tabs>
                <w:tab w:val="left" w:pos="806"/>
              </w:tabs>
              <w:jc w:val="left"/>
              <w:rPr>
                <w:rFonts w:cs="Arial"/>
                <w:sz w:val="24"/>
                <w:szCs w:val="24"/>
              </w:rPr>
            </w:pPr>
            <w:r w:rsidRPr="009D211D">
              <w:rPr>
                <w:rFonts w:cs="Arial"/>
                <w:sz w:val="24"/>
                <w:szCs w:val="24"/>
              </w:rPr>
              <w:t>After Action Review</w:t>
            </w:r>
          </w:p>
        </w:tc>
      </w:tr>
      <w:tr w:rsidR="00C360CC" w:rsidRPr="009D211D" w:rsidTr="00D57AC9">
        <w:tc>
          <w:tcPr>
            <w:tcW w:w="534" w:type="dxa"/>
            <w:shd w:val="clear" w:color="auto" w:fill="auto"/>
          </w:tcPr>
          <w:p w:rsidR="00C360CC" w:rsidRPr="009D211D" w:rsidRDefault="00C360CC" w:rsidP="00C92A42">
            <w:pPr>
              <w:tabs>
                <w:tab w:val="left" w:pos="806"/>
              </w:tabs>
              <w:jc w:val="left"/>
              <w:rPr>
                <w:rFonts w:cs="Arial"/>
                <w:sz w:val="24"/>
                <w:szCs w:val="24"/>
              </w:rPr>
            </w:pPr>
            <w:r w:rsidRPr="009D211D">
              <w:rPr>
                <w:rFonts w:cs="Arial"/>
                <w:sz w:val="24"/>
                <w:szCs w:val="24"/>
              </w:rPr>
              <w:t>10</w:t>
            </w:r>
          </w:p>
        </w:tc>
        <w:tc>
          <w:tcPr>
            <w:tcW w:w="2126" w:type="dxa"/>
            <w:shd w:val="clear" w:color="auto" w:fill="auto"/>
          </w:tcPr>
          <w:p w:rsidR="00C360CC" w:rsidRPr="009D211D" w:rsidRDefault="00C360CC" w:rsidP="00C92A42">
            <w:pPr>
              <w:tabs>
                <w:tab w:val="left" w:pos="806"/>
              </w:tabs>
              <w:jc w:val="left"/>
              <w:rPr>
                <w:rFonts w:cs="Arial"/>
                <w:sz w:val="24"/>
                <w:szCs w:val="24"/>
              </w:rPr>
            </w:pPr>
            <w:r w:rsidRPr="009D211D">
              <w:rPr>
                <w:rFonts w:cs="Arial"/>
                <w:sz w:val="24"/>
                <w:szCs w:val="24"/>
              </w:rPr>
              <w:t>Allegation of abuse</w:t>
            </w:r>
          </w:p>
        </w:tc>
        <w:tc>
          <w:tcPr>
            <w:tcW w:w="3152" w:type="dxa"/>
            <w:shd w:val="clear" w:color="auto" w:fill="auto"/>
          </w:tcPr>
          <w:p w:rsidR="00C360CC" w:rsidRPr="009D211D" w:rsidRDefault="00C360CC" w:rsidP="00C92A42">
            <w:pPr>
              <w:tabs>
                <w:tab w:val="left" w:pos="806"/>
              </w:tabs>
              <w:jc w:val="left"/>
              <w:rPr>
                <w:rFonts w:cs="Arial"/>
                <w:sz w:val="24"/>
                <w:szCs w:val="24"/>
              </w:rPr>
            </w:pPr>
            <w:r w:rsidRPr="009D211D">
              <w:rPr>
                <w:rFonts w:cs="Arial"/>
                <w:sz w:val="24"/>
                <w:szCs w:val="24"/>
              </w:rPr>
              <w:t>When and allegation of abuse is raised</w:t>
            </w:r>
          </w:p>
        </w:tc>
        <w:tc>
          <w:tcPr>
            <w:tcW w:w="1843" w:type="dxa"/>
            <w:tcBorders>
              <w:right w:val="single" w:sz="4" w:space="0" w:color="4472C4"/>
            </w:tcBorders>
            <w:shd w:val="clear" w:color="auto" w:fill="auto"/>
          </w:tcPr>
          <w:p w:rsidR="00C360CC" w:rsidRPr="009D211D" w:rsidRDefault="00C360CC" w:rsidP="00C92A42">
            <w:pPr>
              <w:tabs>
                <w:tab w:val="left" w:pos="806"/>
              </w:tabs>
              <w:jc w:val="left"/>
              <w:rPr>
                <w:rFonts w:cs="Arial"/>
                <w:sz w:val="24"/>
                <w:szCs w:val="24"/>
              </w:rPr>
            </w:pPr>
            <w:r w:rsidRPr="009D211D">
              <w:rPr>
                <w:rFonts w:cs="Arial"/>
                <w:sz w:val="24"/>
                <w:szCs w:val="24"/>
              </w:rPr>
              <w:t xml:space="preserve"> </w:t>
            </w:r>
          </w:p>
        </w:tc>
        <w:tc>
          <w:tcPr>
            <w:tcW w:w="2869" w:type="dxa"/>
            <w:tcBorders>
              <w:left w:val="single" w:sz="4" w:space="0" w:color="4472C4"/>
            </w:tcBorders>
            <w:shd w:val="clear" w:color="auto" w:fill="auto"/>
          </w:tcPr>
          <w:p w:rsidR="00C360CC" w:rsidRPr="009D211D" w:rsidRDefault="00C360CC" w:rsidP="00C92A42">
            <w:pPr>
              <w:tabs>
                <w:tab w:val="left" w:pos="806"/>
              </w:tabs>
              <w:jc w:val="left"/>
              <w:rPr>
                <w:rFonts w:cs="Arial"/>
                <w:sz w:val="24"/>
                <w:szCs w:val="24"/>
              </w:rPr>
            </w:pPr>
            <w:r w:rsidRPr="009D211D">
              <w:rPr>
                <w:rFonts w:cs="Arial"/>
                <w:sz w:val="24"/>
                <w:szCs w:val="24"/>
              </w:rPr>
              <w:t>HR Led</w:t>
            </w:r>
          </w:p>
          <w:p w:rsidR="00C360CC" w:rsidRPr="009D211D" w:rsidRDefault="00C360CC" w:rsidP="00C92A42">
            <w:pPr>
              <w:jc w:val="left"/>
              <w:rPr>
                <w:rFonts w:cs="Arial"/>
                <w:sz w:val="24"/>
                <w:szCs w:val="24"/>
              </w:rPr>
            </w:pPr>
            <w:r w:rsidRPr="009D211D">
              <w:rPr>
                <w:rFonts w:cs="Arial"/>
                <w:sz w:val="24"/>
                <w:szCs w:val="24"/>
              </w:rPr>
              <w:t>Patient Safety Team and senior management review</w:t>
            </w:r>
          </w:p>
        </w:tc>
      </w:tr>
    </w:tbl>
    <w:p w:rsidR="00C360CC" w:rsidRDefault="00C360CC" w:rsidP="00C360CC">
      <w:pPr>
        <w:spacing w:before="240"/>
        <w:jc w:val="left"/>
        <w:rPr>
          <w:b/>
          <w:sz w:val="24"/>
          <w:szCs w:val="24"/>
        </w:rPr>
      </w:pPr>
    </w:p>
    <w:p w:rsidR="000D34D7" w:rsidRPr="000D34D7" w:rsidRDefault="000D34D7" w:rsidP="009D211D">
      <w:pPr>
        <w:numPr>
          <w:ilvl w:val="1"/>
          <w:numId w:val="17"/>
        </w:numPr>
        <w:spacing w:before="240"/>
        <w:jc w:val="left"/>
        <w:rPr>
          <w:b/>
          <w:sz w:val="24"/>
          <w:szCs w:val="24"/>
        </w:rPr>
      </w:pPr>
      <w:r w:rsidRPr="009D211D">
        <w:rPr>
          <w:b/>
          <w:sz w:val="24"/>
          <w:szCs w:val="24"/>
        </w:rPr>
        <w:lastRenderedPageBreak/>
        <w:t>Loca</w:t>
      </w:r>
      <w:r w:rsidRPr="009D211D">
        <w:rPr>
          <w:sz w:val="24"/>
          <w:szCs w:val="24"/>
        </w:rPr>
        <w:t>l</w:t>
      </w:r>
      <w:r w:rsidRPr="009D211D">
        <w:rPr>
          <w:b/>
          <w:sz w:val="24"/>
          <w:szCs w:val="24"/>
        </w:rPr>
        <w:t xml:space="preserve"> incident management process</w:t>
      </w:r>
    </w:p>
    <w:p w:rsidR="007D71FF" w:rsidRPr="009D211D" w:rsidRDefault="007D71FF" w:rsidP="009D211D">
      <w:pPr>
        <w:spacing w:before="240"/>
        <w:jc w:val="left"/>
        <w:rPr>
          <w:sz w:val="24"/>
          <w:szCs w:val="24"/>
        </w:rPr>
      </w:pPr>
      <w:r w:rsidRPr="009D211D">
        <w:rPr>
          <w:sz w:val="24"/>
          <w:szCs w:val="24"/>
        </w:rPr>
        <w:t>Where a PSII or AAR is required, the review of care and notification of this to the patient, family or care must be initiated as soon as possible.</w:t>
      </w:r>
    </w:p>
    <w:p w:rsidR="007D71FF" w:rsidRPr="009D211D" w:rsidRDefault="007D71FF" w:rsidP="009D211D">
      <w:pPr>
        <w:spacing w:before="240"/>
        <w:jc w:val="left"/>
        <w:rPr>
          <w:sz w:val="24"/>
          <w:szCs w:val="24"/>
        </w:rPr>
      </w:pPr>
      <w:r w:rsidRPr="009D211D">
        <w:rPr>
          <w:sz w:val="24"/>
          <w:szCs w:val="24"/>
        </w:rPr>
        <w:t>PSIIs should be completed within no more than three months of their start date.</w:t>
      </w:r>
    </w:p>
    <w:p w:rsidR="00DE6E74" w:rsidRPr="009D211D" w:rsidRDefault="00DE6E74" w:rsidP="009D211D">
      <w:pPr>
        <w:spacing w:before="240"/>
        <w:jc w:val="left"/>
        <w:rPr>
          <w:color w:val="auto"/>
          <w:sz w:val="24"/>
          <w:szCs w:val="24"/>
        </w:rPr>
      </w:pPr>
      <w:r w:rsidRPr="009D211D">
        <w:rPr>
          <w:color w:val="auto"/>
          <w:sz w:val="24"/>
          <w:szCs w:val="24"/>
        </w:rPr>
        <w:t>Only in exceptional circumstances will the timeframe of a PSII be extended and a risk assessment should accompany any request. This will need to be agreed with the patient/family/carer, KCHFT and the commissioning body.</w:t>
      </w:r>
    </w:p>
    <w:p w:rsidR="007D71FF" w:rsidRPr="009D211D" w:rsidRDefault="007D71FF" w:rsidP="009D211D">
      <w:pPr>
        <w:spacing w:before="240"/>
        <w:jc w:val="left"/>
        <w:rPr>
          <w:sz w:val="24"/>
          <w:szCs w:val="24"/>
        </w:rPr>
      </w:pPr>
      <w:r w:rsidRPr="009D211D">
        <w:rPr>
          <w:sz w:val="24"/>
          <w:szCs w:val="24"/>
        </w:rPr>
        <w:t>AARs should be completed within 10 working dates of AAR agreement.</w:t>
      </w:r>
    </w:p>
    <w:p w:rsidR="000C7690" w:rsidRPr="009D211D" w:rsidRDefault="007D71FF" w:rsidP="009D211D">
      <w:pPr>
        <w:spacing w:before="240"/>
        <w:jc w:val="left"/>
        <w:rPr>
          <w:sz w:val="24"/>
          <w:szCs w:val="24"/>
        </w:rPr>
      </w:pPr>
      <w:r w:rsidRPr="009D211D">
        <w:rPr>
          <w:sz w:val="24"/>
          <w:szCs w:val="24"/>
        </w:rPr>
        <w:t>A joint investigations process with external providers will help manage collaborative learning</w:t>
      </w:r>
      <w:r w:rsidR="00E55275" w:rsidRPr="009D211D">
        <w:rPr>
          <w:sz w:val="24"/>
          <w:szCs w:val="24"/>
        </w:rPr>
        <w:t xml:space="preserve"> (see attached </w:t>
      </w:r>
      <w:r w:rsidR="0023176E" w:rsidRPr="009D211D">
        <w:rPr>
          <w:sz w:val="24"/>
          <w:szCs w:val="24"/>
        </w:rPr>
        <w:t>A</w:t>
      </w:r>
      <w:r w:rsidR="00E55275" w:rsidRPr="009D211D">
        <w:rPr>
          <w:sz w:val="24"/>
          <w:szCs w:val="24"/>
        </w:rPr>
        <w:t>ppendix</w:t>
      </w:r>
      <w:r w:rsidR="0023176E" w:rsidRPr="009D211D">
        <w:rPr>
          <w:sz w:val="24"/>
          <w:szCs w:val="24"/>
        </w:rPr>
        <w:t xml:space="preserve"> 3)</w:t>
      </w:r>
      <w:r w:rsidRPr="009D211D">
        <w:rPr>
          <w:sz w:val="24"/>
          <w:szCs w:val="24"/>
        </w:rPr>
        <w:t xml:space="preserve">.   </w:t>
      </w:r>
    </w:p>
    <w:p w:rsidR="007D71FF" w:rsidRPr="009D211D" w:rsidRDefault="007D71FF" w:rsidP="009D211D">
      <w:pPr>
        <w:spacing w:before="240"/>
        <w:jc w:val="left"/>
        <w:rPr>
          <w:sz w:val="24"/>
          <w:szCs w:val="24"/>
        </w:rPr>
      </w:pPr>
      <w:r w:rsidRPr="009D211D">
        <w:rPr>
          <w:sz w:val="24"/>
          <w:szCs w:val="24"/>
        </w:rPr>
        <w:t>The patient safety team have simplified this process by providing a four-step approach which provides details from notification of an incident through to a learning response</w:t>
      </w:r>
      <w:r w:rsidR="0023176E" w:rsidRPr="009D211D">
        <w:rPr>
          <w:sz w:val="24"/>
          <w:szCs w:val="24"/>
        </w:rPr>
        <w:t xml:space="preserve"> (Appendix 2)</w:t>
      </w:r>
      <w:r w:rsidRPr="009D211D">
        <w:rPr>
          <w:sz w:val="24"/>
          <w:szCs w:val="24"/>
        </w:rPr>
        <w:t xml:space="preserve">. </w:t>
      </w:r>
    </w:p>
    <w:p w:rsidR="007D71FF" w:rsidRPr="009D211D" w:rsidRDefault="007D71FF" w:rsidP="009D211D">
      <w:pPr>
        <w:spacing w:before="240"/>
        <w:jc w:val="left"/>
        <w:rPr>
          <w:sz w:val="24"/>
          <w:szCs w:val="24"/>
        </w:rPr>
      </w:pPr>
      <w:r w:rsidRPr="009D211D">
        <w:rPr>
          <w:sz w:val="24"/>
          <w:szCs w:val="24"/>
        </w:rPr>
        <w:t>Whilst in the transition period from SIF to PSIRF KCHFT will continue to use current report templates until notified by our Integrated Care Board.</w:t>
      </w:r>
    </w:p>
    <w:p w:rsidR="00CF5FCB" w:rsidRPr="009D211D" w:rsidRDefault="007D71FF" w:rsidP="009D211D">
      <w:pPr>
        <w:spacing w:before="240" w:after="240"/>
        <w:jc w:val="left"/>
        <w:rPr>
          <w:sz w:val="24"/>
          <w:szCs w:val="24"/>
        </w:rPr>
      </w:pPr>
      <w:r w:rsidRPr="009D211D">
        <w:rPr>
          <w:sz w:val="24"/>
          <w:szCs w:val="24"/>
        </w:rPr>
        <w:t>Levels of harm will not be the driver for incident response hence the decision to not reflect this on reports.</w:t>
      </w:r>
    </w:p>
    <w:p w:rsidR="007D71FF" w:rsidRPr="009D211D" w:rsidRDefault="007D71FF" w:rsidP="009D211D">
      <w:pPr>
        <w:numPr>
          <w:ilvl w:val="0"/>
          <w:numId w:val="2"/>
        </w:numPr>
        <w:jc w:val="left"/>
        <w:rPr>
          <w:b/>
          <w:spacing w:val="0"/>
          <w:sz w:val="24"/>
          <w:szCs w:val="24"/>
        </w:rPr>
      </w:pPr>
      <w:r w:rsidRPr="009D211D">
        <w:rPr>
          <w:b/>
          <w:spacing w:val="0"/>
          <w:sz w:val="24"/>
          <w:szCs w:val="24"/>
        </w:rPr>
        <w:t>Recommendations and learning</w:t>
      </w:r>
    </w:p>
    <w:p w:rsidR="007D71FF" w:rsidRPr="009D211D" w:rsidRDefault="007D71FF" w:rsidP="009D211D">
      <w:pPr>
        <w:jc w:val="left"/>
        <w:rPr>
          <w:rFonts w:cs="Arial"/>
          <w:spacing w:val="0"/>
          <w:sz w:val="24"/>
          <w:szCs w:val="24"/>
        </w:rPr>
      </w:pPr>
    </w:p>
    <w:p w:rsidR="007D71FF" w:rsidRPr="009D211D" w:rsidRDefault="007D71FF" w:rsidP="009D211D">
      <w:pPr>
        <w:jc w:val="left"/>
        <w:rPr>
          <w:rFonts w:eastAsia="Calibri"/>
          <w:color w:val="auto"/>
          <w:spacing w:val="0"/>
          <w:sz w:val="24"/>
          <w:szCs w:val="24"/>
        </w:rPr>
      </w:pPr>
      <w:bookmarkStart w:id="24" w:name="_Hlk135301085"/>
      <w:bookmarkStart w:id="25" w:name="_Hlk135301156"/>
      <w:r w:rsidRPr="009D211D">
        <w:rPr>
          <w:rFonts w:eastAsia="Calibri"/>
          <w:color w:val="auto"/>
          <w:spacing w:val="0"/>
          <w:sz w:val="24"/>
          <w:szCs w:val="24"/>
        </w:rPr>
        <w:t>Learning responses will provide key insight and leaning opportunities and this should not be the end of the response.</w:t>
      </w:r>
    </w:p>
    <w:bookmarkEnd w:id="25"/>
    <w:p w:rsidR="007D71FF" w:rsidRPr="009D211D" w:rsidRDefault="007D71FF" w:rsidP="009D211D">
      <w:pPr>
        <w:spacing w:after="200"/>
        <w:jc w:val="left"/>
        <w:rPr>
          <w:rFonts w:eastAsia="Calibri"/>
          <w:color w:val="auto"/>
          <w:spacing w:val="0"/>
          <w:sz w:val="24"/>
          <w:szCs w:val="24"/>
          <w:highlight w:val="yellow"/>
        </w:rPr>
      </w:pPr>
      <w:r w:rsidRPr="009D211D">
        <w:rPr>
          <w:rFonts w:eastAsia="Calibri"/>
          <w:color w:val="auto"/>
          <w:spacing w:val="0"/>
          <w:sz w:val="24"/>
          <w:szCs w:val="24"/>
        </w:rPr>
        <w:t xml:space="preserve">These recommendations will be translated into effective Patient Safety Improvement Plans (PSIP) </w:t>
      </w:r>
      <w:hyperlink r:id="rId11" w:history="1">
        <w:r w:rsidR="00E31A15" w:rsidRPr="009D211D">
          <w:rPr>
            <w:rStyle w:val="Hyperlink"/>
            <w:rFonts w:eastAsia="Calibri"/>
            <w:spacing w:val="0"/>
            <w:sz w:val="24"/>
            <w:szCs w:val="24"/>
          </w:rPr>
          <w:t>see flo for PSIP management plan</w:t>
        </w:r>
      </w:hyperlink>
      <w:r w:rsidRPr="009D211D">
        <w:rPr>
          <w:rFonts w:eastAsia="Calibri"/>
          <w:color w:val="auto"/>
          <w:spacing w:val="0"/>
          <w:sz w:val="24"/>
          <w:szCs w:val="24"/>
        </w:rPr>
        <w:t>)</w:t>
      </w:r>
    </w:p>
    <w:p w:rsidR="007D71FF" w:rsidRPr="009D211D" w:rsidRDefault="007D71FF" w:rsidP="009D211D">
      <w:pPr>
        <w:spacing w:after="200"/>
        <w:jc w:val="left"/>
        <w:rPr>
          <w:rFonts w:eastAsia="Calibri"/>
          <w:color w:val="auto"/>
          <w:spacing w:val="0"/>
          <w:sz w:val="24"/>
          <w:szCs w:val="24"/>
        </w:rPr>
      </w:pPr>
      <w:r w:rsidRPr="009D211D">
        <w:rPr>
          <w:rFonts w:eastAsia="Calibri"/>
          <w:color w:val="auto"/>
          <w:spacing w:val="0"/>
          <w:sz w:val="24"/>
          <w:szCs w:val="24"/>
        </w:rPr>
        <w:t>If a learning response reveals significant risk(s) that require(s) immediate safety actions to improve patient safety, these actions will be made as soon as possible.</w:t>
      </w:r>
    </w:p>
    <w:p w:rsidR="007D71FF" w:rsidRPr="009D211D" w:rsidRDefault="007D71FF" w:rsidP="009D211D">
      <w:pPr>
        <w:spacing w:after="200"/>
        <w:jc w:val="left"/>
        <w:rPr>
          <w:rFonts w:eastAsia="Calibri"/>
          <w:color w:val="auto"/>
          <w:spacing w:val="0"/>
          <w:sz w:val="24"/>
          <w:szCs w:val="24"/>
        </w:rPr>
      </w:pPr>
      <w:r w:rsidRPr="009D211D">
        <w:rPr>
          <w:rFonts w:eastAsia="Calibri"/>
          <w:color w:val="auto"/>
          <w:spacing w:val="0"/>
          <w:sz w:val="24"/>
          <w:szCs w:val="24"/>
        </w:rPr>
        <w:t>The agreed PSIP will not only be shared with those involved in the incident including patients, families, carers, staff and also on KCHFT intranet where staff have a repository space for reviewing learning response outcomes.</w:t>
      </w:r>
    </w:p>
    <w:p w:rsidR="00AE135B" w:rsidRPr="009D211D" w:rsidRDefault="007D71FF" w:rsidP="009D211D">
      <w:pPr>
        <w:spacing w:after="200"/>
        <w:jc w:val="left"/>
        <w:rPr>
          <w:rFonts w:eastAsia="Calibri"/>
          <w:color w:val="auto"/>
          <w:spacing w:val="0"/>
          <w:sz w:val="24"/>
          <w:szCs w:val="24"/>
        </w:rPr>
      </w:pPr>
      <w:r w:rsidRPr="009D211D">
        <w:rPr>
          <w:rFonts w:eastAsia="Calibri"/>
          <w:color w:val="auto"/>
          <w:spacing w:val="0"/>
          <w:sz w:val="24"/>
          <w:szCs w:val="24"/>
        </w:rPr>
        <w:t>There will be set timeframe</w:t>
      </w:r>
      <w:r w:rsidR="001B1875" w:rsidRPr="009D211D">
        <w:rPr>
          <w:rFonts w:eastAsia="Calibri"/>
          <w:color w:val="auto"/>
          <w:spacing w:val="0"/>
          <w:sz w:val="24"/>
          <w:szCs w:val="24"/>
        </w:rPr>
        <w:t xml:space="preserve"> for services to</w:t>
      </w:r>
      <w:r w:rsidRPr="009D211D">
        <w:rPr>
          <w:rFonts w:eastAsia="Calibri"/>
          <w:color w:val="auto"/>
          <w:spacing w:val="0"/>
          <w:sz w:val="24"/>
          <w:szCs w:val="24"/>
        </w:rPr>
        <w:t xml:space="preserve"> complete a</w:t>
      </w:r>
      <w:r w:rsidR="00B425E2" w:rsidRPr="009D211D">
        <w:rPr>
          <w:rFonts w:eastAsia="Calibri"/>
          <w:color w:val="auto"/>
          <w:spacing w:val="0"/>
          <w:sz w:val="24"/>
          <w:szCs w:val="24"/>
        </w:rPr>
        <w:t>n</w:t>
      </w:r>
      <w:r w:rsidRPr="009D211D">
        <w:rPr>
          <w:rFonts w:eastAsia="Calibri"/>
          <w:color w:val="auto"/>
          <w:spacing w:val="0"/>
          <w:sz w:val="24"/>
          <w:szCs w:val="24"/>
        </w:rPr>
        <w:t xml:space="preserve"> </w:t>
      </w:r>
      <w:r w:rsidR="001B1875" w:rsidRPr="009D211D">
        <w:rPr>
          <w:rFonts w:eastAsia="Calibri"/>
          <w:color w:val="auto"/>
          <w:spacing w:val="0"/>
          <w:sz w:val="24"/>
          <w:szCs w:val="24"/>
        </w:rPr>
        <w:t xml:space="preserve">agreed </w:t>
      </w:r>
      <w:r w:rsidRPr="009D211D">
        <w:rPr>
          <w:rFonts w:eastAsia="Calibri"/>
          <w:color w:val="auto"/>
          <w:spacing w:val="0"/>
          <w:sz w:val="24"/>
          <w:szCs w:val="24"/>
        </w:rPr>
        <w:t xml:space="preserve">PSIP and </w:t>
      </w:r>
      <w:r w:rsidR="001B1875" w:rsidRPr="009D211D">
        <w:rPr>
          <w:rFonts w:eastAsia="Calibri"/>
          <w:color w:val="auto"/>
          <w:spacing w:val="0"/>
          <w:sz w:val="24"/>
          <w:szCs w:val="24"/>
        </w:rPr>
        <w:t xml:space="preserve">if an </w:t>
      </w:r>
      <w:r w:rsidR="00B425E2" w:rsidRPr="009D211D">
        <w:rPr>
          <w:rFonts w:eastAsia="Calibri"/>
          <w:color w:val="auto"/>
          <w:spacing w:val="0"/>
          <w:sz w:val="24"/>
          <w:szCs w:val="24"/>
        </w:rPr>
        <w:t>extension</w:t>
      </w:r>
      <w:r w:rsidR="001B1875" w:rsidRPr="009D211D">
        <w:rPr>
          <w:rFonts w:eastAsia="Calibri"/>
          <w:color w:val="auto"/>
          <w:spacing w:val="0"/>
          <w:sz w:val="24"/>
          <w:szCs w:val="24"/>
        </w:rPr>
        <w:t xml:space="preserve"> is requested, </w:t>
      </w:r>
      <w:r w:rsidRPr="009D211D">
        <w:rPr>
          <w:rFonts w:eastAsia="Calibri"/>
          <w:color w:val="auto"/>
          <w:spacing w:val="0"/>
          <w:sz w:val="24"/>
          <w:szCs w:val="24"/>
        </w:rPr>
        <w:t>consideration will be given to the impact of extended timescales.</w:t>
      </w:r>
      <w:bookmarkEnd w:id="24"/>
      <w:r w:rsidR="00D22118" w:rsidRPr="009D211D">
        <w:rPr>
          <w:sz w:val="24"/>
          <w:szCs w:val="24"/>
        </w:rPr>
        <w:t xml:space="preserve"> </w:t>
      </w:r>
    </w:p>
    <w:p w:rsidR="00D22118" w:rsidRPr="009D211D" w:rsidRDefault="00AE135B" w:rsidP="009D211D">
      <w:pPr>
        <w:pStyle w:val="Heading2"/>
        <w:rPr>
          <w:sz w:val="24"/>
        </w:rPr>
      </w:pPr>
      <w:r w:rsidRPr="009D211D">
        <w:rPr>
          <w:sz w:val="24"/>
        </w:rPr>
        <w:t>4.2</w:t>
      </w:r>
      <w:r w:rsidRPr="009D211D">
        <w:rPr>
          <w:b w:val="0"/>
          <w:sz w:val="24"/>
        </w:rPr>
        <w:t xml:space="preserve">   </w:t>
      </w:r>
      <w:bookmarkStart w:id="26" w:name="_Toc135146552"/>
      <w:r w:rsidR="00D22118" w:rsidRPr="009D211D">
        <w:rPr>
          <w:sz w:val="24"/>
        </w:rPr>
        <w:t>Responses that relates to national requirements or outside of the PSIRP</w:t>
      </w:r>
      <w:bookmarkEnd w:id="26"/>
    </w:p>
    <w:p w:rsidR="00D22118" w:rsidRPr="009D211D" w:rsidRDefault="00D22118" w:rsidP="009D211D">
      <w:pPr>
        <w:jc w:val="left"/>
        <w:rPr>
          <w:sz w:val="24"/>
          <w:szCs w:val="24"/>
        </w:rPr>
      </w:pPr>
    </w:p>
    <w:p w:rsidR="00D22118" w:rsidRPr="009D211D" w:rsidRDefault="00D22118" w:rsidP="009D211D">
      <w:pPr>
        <w:spacing w:after="200"/>
        <w:jc w:val="left"/>
        <w:rPr>
          <w:rFonts w:eastAsia="Calibri"/>
          <w:color w:val="auto"/>
          <w:spacing w:val="0"/>
          <w:sz w:val="24"/>
          <w:szCs w:val="24"/>
        </w:rPr>
      </w:pPr>
      <w:r w:rsidRPr="009D211D">
        <w:rPr>
          <w:rFonts w:eastAsia="Calibri"/>
          <w:color w:val="auto"/>
          <w:spacing w:val="0"/>
          <w:sz w:val="24"/>
          <w:szCs w:val="24"/>
        </w:rPr>
        <w:t>The Complaints Policy sets out the principles and processes involved when any person wishes to raise a concern or complaint and how this is managed.</w:t>
      </w:r>
    </w:p>
    <w:p w:rsidR="00D22118" w:rsidRPr="009D211D" w:rsidRDefault="00D22118" w:rsidP="009D211D">
      <w:pPr>
        <w:spacing w:after="200"/>
        <w:jc w:val="left"/>
        <w:rPr>
          <w:rFonts w:eastAsia="Calibri"/>
          <w:color w:val="auto"/>
          <w:spacing w:val="0"/>
          <w:sz w:val="24"/>
          <w:szCs w:val="24"/>
        </w:rPr>
      </w:pPr>
      <w:r w:rsidRPr="009D211D">
        <w:rPr>
          <w:rFonts w:eastAsia="Calibri"/>
          <w:color w:val="auto"/>
          <w:spacing w:val="0"/>
          <w:sz w:val="24"/>
          <w:szCs w:val="24"/>
        </w:rPr>
        <w:t xml:space="preserve">Incidents that meet the criteria set in the </w:t>
      </w:r>
      <w:hyperlink r:id="rId12" w:history="1">
        <w:r w:rsidRPr="009D211D">
          <w:rPr>
            <w:rFonts w:eastAsia="Calibri"/>
            <w:color w:val="0000FF"/>
            <w:spacing w:val="0"/>
            <w:sz w:val="24"/>
            <w:szCs w:val="24"/>
            <w:u w:val="single"/>
          </w:rPr>
          <w:t>Revised Never Events list</w:t>
        </w:r>
      </w:hyperlink>
      <w:r w:rsidRPr="009D211D">
        <w:rPr>
          <w:rFonts w:eastAsia="Calibri"/>
          <w:color w:val="auto"/>
          <w:spacing w:val="0"/>
          <w:sz w:val="24"/>
          <w:szCs w:val="24"/>
        </w:rPr>
        <w:t xml:space="preserve"> will be managed as per national standards.</w:t>
      </w:r>
    </w:p>
    <w:p w:rsidR="00D22118" w:rsidRPr="009D211D" w:rsidRDefault="00D22118" w:rsidP="009D211D">
      <w:pPr>
        <w:spacing w:after="200"/>
        <w:jc w:val="left"/>
        <w:rPr>
          <w:rFonts w:eastAsia="Calibri"/>
          <w:color w:val="auto"/>
          <w:spacing w:val="0"/>
          <w:sz w:val="24"/>
          <w:szCs w:val="24"/>
        </w:rPr>
      </w:pPr>
      <w:r w:rsidRPr="009D211D">
        <w:rPr>
          <w:rFonts w:eastAsia="Calibri"/>
          <w:color w:val="auto"/>
          <w:spacing w:val="0"/>
          <w:sz w:val="24"/>
          <w:szCs w:val="24"/>
        </w:rPr>
        <w:t xml:space="preserve">Incidents that meet the ‘Learning from Deaths’ criteria will be reviewed in addition to the LeDeR review. </w:t>
      </w:r>
    </w:p>
    <w:p w:rsidR="00D22118" w:rsidRPr="009D211D" w:rsidRDefault="00D22118" w:rsidP="009D211D">
      <w:pPr>
        <w:spacing w:after="200"/>
        <w:jc w:val="left"/>
        <w:rPr>
          <w:rFonts w:eastAsia="Calibri"/>
          <w:color w:val="auto"/>
          <w:spacing w:val="0"/>
          <w:sz w:val="24"/>
          <w:szCs w:val="24"/>
        </w:rPr>
      </w:pPr>
      <w:r w:rsidRPr="009D211D">
        <w:rPr>
          <w:rFonts w:eastAsia="Calibri"/>
          <w:color w:val="auto"/>
          <w:spacing w:val="0"/>
          <w:sz w:val="24"/>
          <w:szCs w:val="24"/>
        </w:rPr>
        <w:t xml:space="preserve">Safeguarding incidents must be followed up by the organisation’s Safeguarding manager. </w:t>
      </w:r>
    </w:p>
    <w:p w:rsidR="00AE135B" w:rsidRPr="009D211D" w:rsidRDefault="00AE135B" w:rsidP="009D211D">
      <w:pPr>
        <w:pStyle w:val="Heading2"/>
        <w:rPr>
          <w:sz w:val="24"/>
        </w:rPr>
      </w:pPr>
    </w:p>
    <w:p w:rsidR="001059C6" w:rsidRPr="009D211D" w:rsidRDefault="00D22118" w:rsidP="009D211D">
      <w:pPr>
        <w:pStyle w:val="Policybody"/>
        <w:numPr>
          <w:ilvl w:val="0"/>
          <w:numId w:val="2"/>
        </w:numPr>
        <w:jc w:val="left"/>
      </w:pPr>
      <w:r w:rsidRPr="009D211D">
        <w:t>Roles and responsibilities</w:t>
      </w:r>
    </w:p>
    <w:p w:rsidR="00D22118" w:rsidRPr="009D211D" w:rsidRDefault="00D22118" w:rsidP="009D211D">
      <w:pPr>
        <w:pStyle w:val="Policybody"/>
        <w:ind w:left="0" w:firstLine="0"/>
        <w:jc w:val="left"/>
      </w:pPr>
    </w:p>
    <w:p w:rsidR="00D22118" w:rsidRPr="009D211D" w:rsidRDefault="00D22118" w:rsidP="009D211D">
      <w:pPr>
        <w:spacing w:after="240"/>
        <w:jc w:val="left"/>
        <w:rPr>
          <w:rFonts w:eastAsia="Calibri"/>
          <w:color w:val="auto"/>
          <w:spacing w:val="0"/>
          <w:sz w:val="24"/>
          <w:szCs w:val="24"/>
        </w:rPr>
      </w:pPr>
      <w:r w:rsidRPr="009D211D">
        <w:rPr>
          <w:rFonts w:eastAsia="Calibri"/>
          <w:color w:val="auto"/>
          <w:spacing w:val="0"/>
          <w:sz w:val="24"/>
          <w:szCs w:val="24"/>
        </w:rPr>
        <w:t>KCHFT have clear roles and responsibilities in relation to its response to patient safety incidents, including investigator responsibilities and upholding national standards relating to patient safety incidents.</w:t>
      </w:r>
    </w:p>
    <w:p w:rsidR="00D22118" w:rsidRPr="009D211D" w:rsidRDefault="00D22118" w:rsidP="009D211D">
      <w:pPr>
        <w:pStyle w:val="Policybody"/>
        <w:ind w:hanging="567"/>
        <w:jc w:val="left"/>
      </w:pPr>
      <w:r w:rsidRPr="009D211D">
        <w:t>All Staff</w:t>
      </w:r>
    </w:p>
    <w:p w:rsidR="00D22118" w:rsidRPr="009D211D" w:rsidRDefault="00D22118" w:rsidP="009D211D">
      <w:pPr>
        <w:pStyle w:val="Policybody"/>
        <w:ind w:hanging="567"/>
        <w:jc w:val="left"/>
      </w:pPr>
    </w:p>
    <w:p w:rsidR="00D22118" w:rsidRPr="009D211D" w:rsidRDefault="00D22118" w:rsidP="009D211D">
      <w:pPr>
        <w:spacing w:after="200" w:line="276" w:lineRule="auto"/>
        <w:jc w:val="left"/>
        <w:rPr>
          <w:rFonts w:eastAsia="Calibri"/>
          <w:color w:val="auto"/>
          <w:spacing w:val="0"/>
          <w:sz w:val="24"/>
          <w:szCs w:val="24"/>
        </w:rPr>
      </w:pPr>
      <w:r w:rsidRPr="009D211D">
        <w:rPr>
          <w:rFonts w:eastAsia="Calibri"/>
          <w:color w:val="auto"/>
          <w:spacing w:val="0"/>
          <w:sz w:val="24"/>
          <w:szCs w:val="24"/>
        </w:rPr>
        <w:t xml:space="preserve">All staff have a responsibility to highlight any risk issues which would warrant further investigation. Staff are encouraged to be open and cooperative through the incident review process. All staff are provided with information regarding the reporting and management of incidents via our corporate induction programme and this information is also available via the Trust intranet. </w:t>
      </w:r>
    </w:p>
    <w:p w:rsidR="00D22118" w:rsidRPr="009D211D" w:rsidRDefault="00D22118" w:rsidP="009D211D">
      <w:pPr>
        <w:spacing w:after="200"/>
        <w:jc w:val="left"/>
        <w:rPr>
          <w:rFonts w:eastAsia="Calibri"/>
          <w:color w:val="auto"/>
          <w:spacing w:val="0"/>
          <w:sz w:val="24"/>
          <w:szCs w:val="24"/>
        </w:rPr>
      </w:pPr>
      <w:r w:rsidRPr="009D211D">
        <w:rPr>
          <w:rFonts w:eastAsia="Calibri"/>
          <w:b/>
          <w:color w:val="auto"/>
          <w:spacing w:val="0"/>
          <w:sz w:val="24"/>
          <w:szCs w:val="24"/>
        </w:rPr>
        <w:t>Incident Reviewers</w:t>
      </w:r>
    </w:p>
    <w:p w:rsidR="00D22118" w:rsidRPr="009D211D" w:rsidRDefault="00D22118" w:rsidP="009D211D">
      <w:pPr>
        <w:spacing w:after="200"/>
        <w:jc w:val="left"/>
        <w:rPr>
          <w:rFonts w:eastAsia="Calibri"/>
          <w:color w:val="auto"/>
          <w:spacing w:val="0"/>
          <w:sz w:val="24"/>
          <w:szCs w:val="24"/>
        </w:rPr>
      </w:pPr>
      <w:r w:rsidRPr="009D211D">
        <w:rPr>
          <w:rFonts w:eastAsia="Calibri"/>
          <w:color w:val="auto"/>
          <w:spacing w:val="0"/>
          <w:sz w:val="24"/>
          <w:szCs w:val="24"/>
        </w:rPr>
        <w:t>Incidents must be investigated by the allocated investigation manager within the Trust agreed timeframes to enable timely learning response process.</w:t>
      </w:r>
    </w:p>
    <w:p w:rsidR="00D22118" w:rsidRPr="009D211D" w:rsidRDefault="00D22118" w:rsidP="009D211D">
      <w:pPr>
        <w:spacing w:after="200"/>
        <w:jc w:val="left"/>
        <w:rPr>
          <w:rFonts w:eastAsia="Calibri"/>
          <w:b/>
          <w:color w:val="auto"/>
          <w:spacing w:val="0"/>
          <w:sz w:val="24"/>
          <w:szCs w:val="24"/>
        </w:rPr>
      </w:pPr>
      <w:r w:rsidRPr="009D211D">
        <w:rPr>
          <w:rFonts w:eastAsia="Calibri"/>
          <w:b/>
          <w:color w:val="auto"/>
          <w:spacing w:val="0"/>
          <w:sz w:val="24"/>
          <w:szCs w:val="24"/>
        </w:rPr>
        <w:t>Patient Safety Team</w:t>
      </w:r>
    </w:p>
    <w:p w:rsidR="00D22118" w:rsidRPr="009D211D" w:rsidRDefault="00D22118" w:rsidP="009D211D">
      <w:pPr>
        <w:numPr>
          <w:ilvl w:val="0"/>
          <w:numId w:val="19"/>
        </w:numPr>
        <w:spacing w:after="200" w:line="276" w:lineRule="auto"/>
        <w:contextualSpacing/>
        <w:jc w:val="left"/>
        <w:rPr>
          <w:rFonts w:eastAsia="Calibri"/>
          <w:color w:val="auto"/>
          <w:spacing w:val="0"/>
          <w:sz w:val="24"/>
          <w:szCs w:val="24"/>
        </w:rPr>
      </w:pPr>
      <w:r w:rsidRPr="009D211D">
        <w:rPr>
          <w:rFonts w:eastAsia="Calibri"/>
          <w:color w:val="auto"/>
          <w:spacing w:val="0"/>
          <w:sz w:val="24"/>
          <w:szCs w:val="24"/>
        </w:rPr>
        <w:t xml:space="preserve">All member of the Patient Safety Team should follow the agreed management processes to support a through and fair incident review. </w:t>
      </w:r>
    </w:p>
    <w:p w:rsidR="00D22118" w:rsidRPr="009D211D" w:rsidRDefault="00D22118" w:rsidP="009D211D">
      <w:pPr>
        <w:numPr>
          <w:ilvl w:val="0"/>
          <w:numId w:val="19"/>
        </w:numPr>
        <w:spacing w:after="200" w:line="276" w:lineRule="auto"/>
        <w:contextualSpacing/>
        <w:jc w:val="left"/>
        <w:rPr>
          <w:rFonts w:eastAsia="Calibri"/>
          <w:color w:val="auto"/>
          <w:spacing w:val="0"/>
          <w:sz w:val="24"/>
          <w:szCs w:val="24"/>
        </w:rPr>
      </w:pPr>
      <w:r w:rsidRPr="009D211D">
        <w:rPr>
          <w:rFonts w:eastAsia="Calibri"/>
          <w:color w:val="auto"/>
          <w:spacing w:val="0"/>
          <w:sz w:val="24"/>
          <w:szCs w:val="24"/>
        </w:rPr>
        <w:t>Facilitate the review of notifiable patient safety incidents.</w:t>
      </w:r>
    </w:p>
    <w:p w:rsidR="00D22118" w:rsidRPr="009D211D" w:rsidRDefault="00D22118" w:rsidP="009D211D">
      <w:pPr>
        <w:numPr>
          <w:ilvl w:val="0"/>
          <w:numId w:val="19"/>
        </w:numPr>
        <w:spacing w:after="200" w:line="276" w:lineRule="auto"/>
        <w:contextualSpacing/>
        <w:jc w:val="left"/>
        <w:rPr>
          <w:rFonts w:eastAsia="Calibri"/>
          <w:color w:val="auto"/>
          <w:spacing w:val="0"/>
          <w:sz w:val="24"/>
          <w:szCs w:val="24"/>
        </w:rPr>
      </w:pPr>
      <w:r w:rsidRPr="009D211D">
        <w:rPr>
          <w:rFonts w:eastAsia="Calibri"/>
          <w:color w:val="auto"/>
          <w:spacing w:val="0"/>
          <w:sz w:val="24"/>
          <w:szCs w:val="24"/>
        </w:rPr>
        <w:t>Leads the development and review of the organisation’s PSIRP.</w:t>
      </w:r>
    </w:p>
    <w:p w:rsidR="00D22118" w:rsidRPr="009D211D" w:rsidRDefault="00D22118" w:rsidP="009D211D">
      <w:pPr>
        <w:numPr>
          <w:ilvl w:val="0"/>
          <w:numId w:val="19"/>
        </w:numPr>
        <w:spacing w:after="200" w:line="276" w:lineRule="auto"/>
        <w:contextualSpacing/>
        <w:jc w:val="left"/>
        <w:rPr>
          <w:rFonts w:eastAsia="Calibri"/>
          <w:color w:val="auto"/>
          <w:spacing w:val="0"/>
          <w:sz w:val="24"/>
          <w:szCs w:val="24"/>
        </w:rPr>
      </w:pPr>
      <w:r w:rsidRPr="009D211D">
        <w:rPr>
          <w:rFonts w:eastAsia="Calibri"/>
          <w:color w:val="auto"/>
          <w:spacing w:val="0"/>
          <w:sz w:val="24"/>
          <w:szCs w:val="24"/>
        </w:rPr>
        <w:t>Ensures the organisation has procedures that support the management of patient safety incidents in line with the organisation’s PSIRP.</w:t>
      </w:r>
    </w:p>
    <w:p w:rsidR="00D22118" w:rsidRPr="009D211D" w:rsidRDefault="00D22118" w:rsidP="009D211D">
      <w:pPr>
        <w:numPr>
          <w:ilvl w:val="0"/>
          <w:numId w:val="19"/>
        </w:numPr>
        <w:spacing w:after="200" w:line="276" w:lineRule="auto"/>
        <w:contextualSpacing/>
        <w:jc w:val="left"/>
        <w:rPr>
          <w:rFonts w:eastAsia="Calibri"/>
          <w:color w:val="auto"/>
          <w:spacing w:val="0"/>
          <w:sz w:val="24"/>
          <w:szCs w:val="24"/>
        </w:rPr>
      </w:pPr>
      <w:r w:rsidRPr="009D211D">
        <w:rPr>
          <w:rFonts w:eastAsia="Calibri"/>
          <w:color w:val="auto"/>
          <w:spacing w:val="0"/>
          <w:sz w:val="24"/>
          <w:szCs w:val="24"/>
        </w:rPr>
        <w:t>Establishes procedures to monitor/review PSII and associated learning response progress and the delivery of improvements</w:t>
      </w:r>
      <w:r w:rsidR="001B1875" w:rsidRPr="009D211D">
        <w:rPr>
          <w:rFonts w:eastAsia="Calibri"/>
          <w:color w:val="auto"/>
          <w:spacing w:val="0"/>
          <w:sz w:val="24"/>
          <w:szCs w:val="24"/>
        </w:rPr>
        <w:t xml:space="preserve"> including how learning is shared both internally and externally</w:t>
      </w:r>
      <w:r w:rsidRPr="009D211D">
        <w:rPr>
          <w:rFonts w:eastAsia="Calibri"/>
          <w:color w:val="auto"/>
          <w:spacing w:val="0"/>
          <w:sz w:val="24"/>
          <w:szCs w:val="24"/>
        </w:rPr>
        <w:t>.</w:t>
      </w:r>
    </w:p>
    <w:p w:rsidR="00D22118" w:rsidRPr="009D211D" w:rsidRDefault="00D22118" w:rsidP="009D211D">
      <w:pPr>
        <w:numPr>
          <w:ilvl w:val="0"/>
          <w:numId w:val="19"/>
        </w:numPr>
        <w:spacing w:after="200" w:line="276" w:lineRule="auto"/>
        <w:contextualSpacing/>
        <w:jc w:val="left"/>
        <w:rPr>
          <w:rFonts w:eastAsia="Calibri"/>
          <w:color w:val="auto"/>
          <w:spacing w:val="0"/>
          <w:sz w:val="24"/>
          <w:szCs w:val="24"/>
        </w:rPr>
      </w:pPr>
      <w:r w:rsidRPr="009D211D">
        <w:rPr>
          <w:rFonts w:eastAsia="Calibri"/>
          <w:color w:val="auto"/>
          <w:spacing w:val="0"/>
          <w:sz w:val="24"/>
          <w:szCs w:val="24"/>
        </w:rPr>
        <w:t>Works with the executive leads and Patient Safety Specialists to address identified areas for improvement in the organisation’s response to patient safety incidents, including gaps in resource including skills/training.</w:t>
      </w:r>
    </w:p>
    <w:p w:rsidR="00D22118" w:rsidRPr="009D211D" w:rsidRDefault="00D22118" w:rsidP="009D211D">
      <w:pPr>
        <w:numPr>
          <w:ilvl w:val="0"/>
          <w:numId w:val="19"/>
        </w:numPr>
        <w:spacing w:after="200" w:line="276" w:lineRule="auto"/>
        <w:contextualSpacing/>
        <w:jc w:val="left"/>
        <w:rPr>
          <w:rFonts w:eastAsia="Calibri"/>
          <w:color w:val="auto"/>
          <w:spacing w:val="0"/>
          <w:sz w:val="24"/>
          <w:szCs w:val="24"/>
        </w:rPr>
      </w:pPr>
      <w:r w:rsidRPr="009D211D">
        <w:rPr>
          <w:rFonts w:eastAsia="Calibri"/>
          <w:color w:val="auto"/>
          <w:spacing w:val="0"/>
          <w:sz w:val="24"/>
          <w:szCs w:val="24"/>
        </w:rPr>
        <w:t>Supports and advises staff involved in the patient safety incident</w:t>
      </w:r>
    </w:p>
    <w:p w:rsidR="00D22118" w:rsidRPr="009D211D" w:rsidRDefault="00D22118" w:rsidP="009D211D">
      <w:pPr>
        <w:numPr>
          <w:ilvl w:val="0"/>
          <w:numId w:val="19"/>
        </w:numPr>
        <w:spacing w:after="200" w:line="276" w:lineRule="auto"/>
        <w:contextualSpacing/>
        <w:jc w:val="left"/>
        <w:rPr>
          <w:rFonts w:eastAsia="Calibri"/>
          <w:color w:val="auto"/>
          <w:spacing w:val="0"/>
          <w:sz w:val="24"/>
          <w:szCs w:val="24"/>
        </w:rPr>
      </w:pPr>
      <w:r w:rsidRPr="009D211D">
        <w:rPr>
          <w:rFonts w:eastAsia="Calibri"/>
          <w:color w:val="auto"/>
          <w:spacing w:val="0"/>
          <w:sz w:val="24"/>
          <w:szCs w:val="24"/>
        </w:rPr>
        <w:t>Help to determine when specialist advice (e.g. Safeguarding, Health and Safety…)  is required and specialist advisors have a duty to provide support and advice as and when required.</w:t>
      </w:r>
    </w:p>
    <w:p w:rsidR="00CF5FCB" w:rsidRPr="009D211D" w:rsidRDefault="00CF5FCB" w:rsidP="009D211D">
      <w:pPr>
        <w:spacing w:after="200"/>
        <w:ind w:left="720"/>
        <w:contextualSpacing/>
        <w:jc w:val="left"/>
        <w:rPr>
          <w:rFonts w:eastAsia="Calibri"/>
          <w:color w:val="auto"/>
          <w:spacing w:val="0"/>
          <w:sz w:val="24"/>
          <w:szCs w:val="24"/>
        </w:rPr>
      </w:pPr>
    </w:p>
    <w:p w:rsidR="00D22118" w:rsidRPr="009D211D" w:rsidRDefault="00D22118" w:rsidP="009D211D">
      <w:pPr>
        <w:spacing w:after="200"/>
        <w:jc w:val="left"/>
        <w:rPr>
          <w:rFonts w:eastAsia="Calibri"/>
          <w:b/>
          <w:color w:val="auto"/>
          <w:spacing w:val="0"/>
          <w:sz w:val="24"/>
          <w:szCs w:val="24"/>
        </w:rPr>
      </w:pPr>
      <w:r w:rsidRPr="009D211D">
        <w:rPr>
          <w:rFonts w:eastAsia="Calibri"/>
          <w:b/>
          <w:color w:val="auto"/>
          <w:spacing w:val="0"/>
          <w:sz w:val="24"/>
          <w:szCs w:val="24"/>
        </w:rPr>
        <w:t>Appointed Duty of Candour Leads</w:t>
      </w:r>
    </w:p>
    <w:p w:rsidR="00D22118" w:rsidRPr="009D211D" w:rsidRDefault="00D22118" w:rsidP="009D211D">
      <w:pPr>
        <w:numPr>
          <w:ilvl w:val="0"/>
          <w:numId w:val="18"/>
        </w:numPr>
        <w:spacing w:after="200" w:line="276" w:lineRule="auto"/>
        <w:contextualSpacing/>
        <w:jc w:val="left"/>
        <w:rPr>
          <w:rFonts w:eastAsia="Calibri"/>
          <w:color w:val="auto"/>
          <w:spacing w:val="0"/>
          <w:sz w:val="24"/>
          <w:szCs w:val="24"/>
        </w:rPr>
      </w:pPr>
      <w:r w:rsidRPr="009D211D">
        <w:rPr>
          <w:rFonts w:eastAsia="Calibri"/>
          <w:color w:val="auto"/>
          <w:spacing w:val="0"/>
          <w:sz w:val="24"/>
          <w:szCs w:val="24"/>
        </w:rPr>
        <w:t>Responsible for ensuring the organisation’s legal duty of candour is completed for appropriate incidents.</w:t>
      </w:r>
    </w:p>
    <w:p w:rsidR="00D22118" w:rsidRPr="009D211D" w:rsidRDefault="00D22118" w:rsidP="009D211D">
      <w:pPr>
        <w:numPr>
          <w:ilvl w:val="0"/>
          <w:numId w:val="18"/>
        </w:numPr>
        <w:spacing w:after="200" w:line="276" w:lineRule="auto"/>
        <w:contextualSpacing/>
        <w:jc w:val="left"/>
        <w:rPr>
          <w:rFonts w:eastAsia="Calibri"/>
          <w:color w:val="auto"/>
          <w:spacing w:val="0"/>
          <w:sz w:val="24"/>
          <w:szCs w:val="24"/>
        </w:rPr>
      </w:pPr>
      <w:r w:rsidRPr="009D211D">
        <w:rPr>
          <w:rFonts w:eastAsia="Calibri"/>
          <w:color w:val="auto"/>
          <w:spacing w:val="0"/>
          <w:sz w:val="24"/>
          <w:szCs w:val="24"/>
        </w:rPr>
        <w:t>Identify and provide support to those affected by patient safety incidents by being the single point of contact.</w:t>
      </w:r>
    </w:p>
    <w:p w:rsidR="00D22118" w:rsidRPr="009D211D" w:rsidRDefault="00D22118" w:rsidP="009D211D">
      <w:pPr>
        <w:numPr>
          <w:ilvl w:val="0"/>
          <w:numId w:val="18"/>
        </w:numPr>
        <w:spacing w:after="200" w:line="276" w:lineRule="auto"/>
        <w:contextualSpacing/>
        <w:jc w:val="left"/>
        <w:rPr>
          <w:rFonts w:eastAsia="Calibri"/>
          <w:color w:val="auto"/>
          <w:spacing w:val="0"/>
          <w:sz w:val="24"/>
          <w:szCs w:val="24"/>
        </w:rPr>
      </w:pPr>
      <w:r w:rsidRPr="009D211D">
        <w:rPr>
          <w:rFonts w:eastAsia="Calibri"/>
          <w:color w:val="auto"/>
          <w:spacing w:val="0"/>
          <w:sz w:val="24"/>
          <w:szCs w:val="24"/>
        </w:rPr>
        <w:t>Provide them with timely and accessible information and advice including DoC leaflet.</w:t>
      </w:r>
    </w:p>
    <w:p w:rsidR="00D22118" w:rsidRPr="009D211D" w:rsidRDefault="00D22118" w:rsidP="009D211D">
      <w:pPr>
        <w:numPr>
          <w:ilvl w:val="0"/>
          <w:numId w:val="18"/>
        </w:numPr>
        <w:spacing w:after="200" w:line="276" w:lineRule="auto"/>
        <w:contextualSpacing/>
        <w:jc w:val="left"/>
        <w:rPr>
          <w:rFonts w:eastAsia="Calibri"/>
          <w:color w:val="auto"/>
          <w:spacing w:val="0"/>
          <w:sz w:val="24"/>
          <w:szCs w:val="24"/>
        </w:rPr>
      </w:pPr>
      <w:r w:rsidRPr="009D211D">
        <w:rPr>
          <w:rFonts w:eastAsia="Calibri"/>
          <w:color w:val="auto"/>
          <w:spacing w:val="0"/>
          <w:sz w:val="24"/>
          <w:szCs w:val="24"/>
        </w:rPr>
        <w:t>Work with the patient safety team and other services to the right support is offered.</w:t>
      </w:r>
    </w:p>
    <w:p w:rsidR="00D22118" w:rsidRPr="009D211D" w:rsidRDefault="00D22118" w:rsidP="009D211D">
      <w:pPr>
        <w:spacing w:after="200"/>
        <w:jc w:val="left"/>
        <w:rPr>
          <w:rFonts w:eastAsia="Calibri"/>
          <w:b/>
          <w:color w:val="auto"/>
          <w:spacing w:val="0"/>
          <w:sz w:val="24"/>
          <w:szCs w:val="24"/>
        </w:rPr>
      </w:pPr>
    </w:p>
    <w:p w:rsidR="00D22118" w:rsidRPr="009D211D" w:rsidRDefault="00D22118" w:rsidP="009D211D">
      <w:pPr>
        <w:spacing w:after="200"/>
        <w:jc w:val="left"/>
        <w:rPr>
          <w:rFonts w:eastAsia="Calibri"/>
          <w:b/>
          <w:color w:val="auto"/>
          <w:spacing w:val="0"/>
          <w:sz w:val="24"/>
          <w:szCs w:val="24"/>
        </w:rPr>
      </w:pPr>
      <w:r w:rsidRPr="009D211D">
        <w:rPr>
          <w:rFonts w:eastAsia="Calibri"/>
          <w:b/>
          <w:color w:val="auto"/>
          <w:spacing w:val="0"/>
          <w:sz w:val="24"/>
          <w:szCs w:val="24"/>
        </w:rPr>
        <w:t>Senior Management (CSM, Directors)</w:t>
      </w:r>
    </w:p>
    <w:p w:rsidR="00D22118" w:rsidRPr="009D211D" w:rsidRDefault="00D22118" w:rsidP="009D211D">
      <w:pPr>
        <w:numPr>
          <w:ilvl w:val="0"/>
          <w:numId w:val="18"/>
        </w:numPr>
        <w:spacing w:after="200"/>
        <w:contextualSpacing/>
        <w:jc w:val="left"/>
        <w:rPr>
          <w:rFonts w:eastAsia="Calibri"/>
          <w:color w:val="auto"/>
          <w:spacing w:val="0"/>
          <w:sz w:val="24"/>
          <w:szCs w:val="24"/>
        </w:rPr>
      </w:pPr>
      <w:r w:rsidRPr="009D211D">
        <w:rPr>
          <w:rFonts w:eastAsia="Calibri"/>
          <w:color w:val="auto"/>
          <w:spacing w:val="0"/>
          <w:sz w:val="24"/>
          <w:szCs w:val="24"/>
        </w:rPr>
        <w:lastRenderedPageBreak/>
        <w:t>Encourage the reporting of all patient safety incidents and ensure all staff within directorates are confident in using</w:t>
      </w:r>
      <w:r w:rsidR="009B2BAD" w:rsidRPr="009D211D">
        <w:rPr>
          <w:rFonts w:eastAsia="Calibri"/>
          <w:color w:val="auto"/>
          <w:spacing w:val="0"/>
          <w:sz w:val="24"/>
          <w:szCs w:val="24"/>
        </w:rPr>
        <w:t xml:space="preserve"> </w:t>
      </w:r>
      <w:hyperlink r:id="rId13" w:history="1">
        <w:r w:rsidR="009B2BAD" w:rsidRPr="009D211D">
          <w:rPr>
            <w:rStyle w:val="Hyperlink"/>
            <w:rFonts w:eastAsia="Arial" w:cs="Arial"/>
            <w:spacing w:val="0"/>
            <w:sz w:val="24"/>
            <w:szCs w:val="24"/>
            <w:lang w:eastAsia="ja-JP"/>
          </w:rPr>
          <w:t>Datix reporting system</w:t>
        </w:r>
      </w:hyperlink>
      <w:r w:rsidR="009B2BAD" w:rsidRPr="009D211D">
        <w:rPr>
          <w:rFonts w:eastAsia="Arial" w:cs="Arial"/>
          <w:color w:val="auto"/>
          <w:spacing w:val="0"/>
          <w:sz w:val="24"/>
          <w:szCs w:val="24"/>
          <w:lang w:eastAsia="ja-JP"/>
        </w:rPr>
        <w:t>.</w:t>
      </w:r>
    </w:p>
    <w:p w:rsidR="00D22118" w:rsidRPr="009D211D" w:rsidRDefault="00D22118" w:rsidP="009D211D">
      <w:pPr>
        <w:numPr>
          <w:ilvl w:val="0"/>
          <w:numId w:val="18"/>
        </w:numPr>
        <w:spacing w:after="200"/>
        <w:contextualSpacing/>
        <w:jc w:val="left"/>
        <w:rPr>
          <w:rFonts w:eastAsia="Calibri"/>
          <w:color w:val="auto"/>
          <w:spacing w:val="0"/>
          <w:sz w:val="24"/>
          <w:szCs w:val="24"/>
        </w:rPr>
      </w:pPr>
      <w:r w:rsidRPr="009D211D">
        <w:rPr>
          <w:rFonts w:eastAsia="Calibri"/>
          <w:color w:val="auto"/>
          <w:spacing w:val="0"/>
          <w:sz w:val="24"/>
          <w:szCs w:val="24"/>
        </w:rPr>
        <w:t>Ensure that incidents are reported and managed in line with agreed requirements.</w:t>
      </w:r>
    </w:p>
    <w:p w:rsidR="00D22118" w:rsidRPr="009D211D" w:rsidRDefault="00D22118" w:rsidP="009D211D">
      <w:pPr>
        <w:numPr>
          <w:ilvl w:val="0"/>
          <w:numId w:val="18"/>
        </w:numPr>
        <w:spacing w:after="200"/>
        <w:contextualSpacing/>
        <w:jc w:val="left"/>
        <w:rPr>
          <w:rFonts w:eastAsia="Calibri"/>
          <w:color w:val="auto"/>
          <w:spacing w:val="0"/>
          <w:sz w:val="24"/>
          <w:szCs w:val="24"/>
        </w:rPr>
      </w:pPr>
      <w:r w:rsidRPr="009D211D">
        <w:rPr>
          <w:rFonts w:eastAsia="Calibri"/>
          <w:color w:val="auto"/>
          <w:spacing w:val="0"/>
          <w:sz w:val="24"/>
          <w:szCs w:val="24"/>
        </w:rPr>
        <w:t>Supports and advises staff involved in the patient safety incident</w:t>
      </w:r>
    </w:p>
    <w:p w:rsidR="00D22118" w:rsidRPr="009D211D" w:rsidRDefault="00D22118" w:rsidP="009D211D">
      <w:pPr>
        <w:numPr>
          <w:ilvl w:val="0"/>
          <w:numId w:val="18"/>
        </w:numPr>
        <w:spacing w:after="200"/>
        <w:contextualSpacing/>
        <w:jc w:val="left"/>
        <w:rPr>
          <w:rFonts w:eastAsia="Calibri"/>
          <w:color w:val="auto"/>
          <w:spacing w:val="0"/>
          <w:sz w:val="24"/>
          <w:szCs w:val="24"/>
        </w:rPr>
      </w:pPr>
      <w:r w:rsidRPr="009D211D">
        <w:rPr>
          <w:rFonts w:eastAsia="Calibri"/>
          <w:color w:val="auto"/>
          <w:spacing w:val="0"/>
          <w:sz w:val="24"/>
          <w:szCs w:val="24"/>
        </w:rPr>
        <w:t>Have a clear overview of PSIRF and regularly review this with staff at team meetings or huddle.</w:t>
      </w:r>
    </w:p>
    <w:p w:rsidR="00D22118" w:rsidRPr="009D211D" w:rsidRDefault="00D22118" w:rsidP="009D211D">
      <w:pPr>
        <w:numPr>
          <w:ilvl w:val="0"/>
          <w:numId w:val="18"/>
        </w:numPr>
        <w:spacing w:after="200"/>
        <w:contextualSpacing/>
        <w:jc w:val="left"/>
        <w:rPr>
          <w:rFonts w:eastAsia="Calibri"/>
          <w:color w:val="auto"/>
          <w:spacing w:val="0"/>
          <w:sz w:val="24"/>
          <w:szCs w:val="24"/>
        </w:rPr>
      </w:pPr>
      <w:r w:rsidRPr="009D211D">
        <w:rPr>
          <w:rFonts w:eastAsia="Calibri"/>
          <w:color w:val="auto"/>
          <w:spacing w:val="0"/>
          <w:sz w:val="24"/>
          <w:szCs w:val="24"/>
        </w:rPr>
        <w:t>Provide protected time for training in patient safety (National Patient Safety Syllabus) and staff participation in learning response/reviews as required.</w:t>
      </w:r>
    </w:p>
    <w:p w:rsidR="00D22118" w:rsidRPr="009D211D" w:rsidRDefault="00D22118" w:rsidP="009D211D">
      <w:pPr>
        <w:numPr>
          <w:ilvl w:val="0"/>
          <w:numId w:val="18"/>
        </w:numPr>
        <w:spacing w:after="200"/>
        <w:contextualSpacing/>
        <w:jc w:val="left"/>
        <w:rPr>
          <w:rFonts w:eastAsia="Calibri"/>
          <w:color w:val="auto"/>
          <w:spacing w:val="0"/>
          <w:sz w:val="24"/>
          <w:szCs w:val="24"/>
        </w:rPr>
      </w:pPr>
      <w:r w:rsidRPr="009D211D">
        <w:rPr>
          <w:rFonts w:eastAsia="Calibri"/>
          <w:color w:val="auto"/>
          <w:spacing w:val="0"/>
          <w:sz w:val="24"/>
          <w:szCs w:val="24"/>
        </w:rPr>
        <w:t>Support development and delivery of actions in response to patient safety learning response PSIPs.</w:t>
      </w:r>
    </w:p>
    <w:p w:rsidR="00D22118" w:rsidRPr="009D211D" w:rsidRDefault="00D22118" w:rsidP="009D211D">
      <w:pPr>
        <w:numPr>
          <w:ilvl w:val="0"/>
          <w:numId w:val="18"/>
        </w:numPr>
        <w:spacing w:after="200"/>
        <w:contextualSpacing/>
        <w:jc w:val="left"/>
        <w:rPr>
          <w:rFonts w:eastAsia="Calibri"/>
          <w:color w:val="auto"/>
          <w:spacing w:val="0"/>
          <w:sz w:val="24"/>
          <w:szCs w:val="24"/>
        </w:rPr>
      </w:pPr>
      <w:r w:rsidRPr="009D211D">
        <w:rPr>
          <w:rFonts w:eastAsia="Calibri"/>
          <w:color w:val="auto"/>
          <w:spacing w:val="0"/>
          <w:sz w:val="24"/>
          <w:szCs w:val="24"/>
        </w:rPr>
        <w:t>PSIRF recognises the need to ensure we have support structures for staff and patients involved in patient safety incidents. Senior leaders need to embrace and contribute to safety culture reviews to support our awareness of how this is demonstrated by our leaders, the wider trust and its reporting systems.</w:t>
      </w:r>
    </w:p>
    <w:p w:rsidR="00D22118" w:rsidRPr="009D211D" w:rsidRDefault="00D22118" w:rsidP="009D211D">
      <w:pPr>
        <w:spacing w:after="200"/>
        <w:ind w:left="360"/>
        <w:jc w:val="left"/>
        <w:rPr>
          <w:rFonts w:eastAsia="Calibri"/>
          <w:b/>
          <w:color w:val="auto"/>
          <w:spacing w:val="0"/>
          <w:sz w:val="24"/>
          <w:szCs w:val="24"/>
        </w:rPr>
      </w:pPr>
    </w:p>
    <w:p w:rsidR="00D22118" w:rsidRPr="009D211D" w:rsidRDefault="00D22118" w:rsidP="009D211D">
      <w:pPr>
        <w:spacing w:after="200"/>
        <w:ind w:left="360"/>
        <w:jc w:val="left"/>
        <w:rPr>
          <w:rFonts w:eastAsia="Calibri"/>
          <w:b/>
          <w:color w:val="auto"/>
          <w:spacing w:val="0"/>
          <w:sz w:val="24"/>
          <w:szCs w:val="24"/>
        </w:rPr>
      </w:pPr>
      <w:r w:rsidRPr="009D211D">
        <w:rPr>
          <w:rFonts w:eastAsia="Calibri"/>
          <w:b/>
          <w:color w:val="auto"/>
          <w:spacing w:val="0"/>
          <w:sz w:val="24"/>
          <w:szCs w:val="24"/>
        </w:rPr>
        <w:t>Patient Safety Partner</w:t>
      </w:r>
    </w:p>
    <w:p w:rsidR="00D22118" w:rsidRPr="009D211D" w:rsidRDefault="00D22118" w:rsidP="009D211D">
      <w:pPr>
        <w:spacing w:after="200"/>
        <w:ind w:left="360"/>
        <w:jc w:val="left"/>
        <w:rPr>
          <w:rFonts w:eastAsia="Calibri"/>
          <w:color w:val="auto"/>
          <w:spacing w:val="0"/>
          <w:sz w:val="24"/>
          <w:szCs w:val="24"/>
        </w:rPr>
      </w:pPr>
      <w:r w:rsidRPr="009D211D">
        <w:rPr>
          <w:rFonts w:eastAsia="Calibri"/>
          <w:color w:val="auto"/>
          <w:spacing w:val="0"/>
          <w:sz w:val="24"/>
          <w:szCs w:val="24"/>
        </w:rPr>
        <w:t xml:space="preserve">As part of our commitment to working with members of the public we have a partner programme in place. This initiative have allowed members of the public to join our safety and improvement work. </w:t>
      </w:r>
    </w:p>
    <w:p w:rsidR="00D22118" w:rsidRPr="009D211D" w:rsidRDefault="00D22118" w:rsidP="009D211D">
      <w:pPr>
        <w:numPr>
          <w:ilvl w:val="0"/>
          <w:numId w:val="18"/>
        </w:numPr>
        <w:spacing w:after="200" w:line="276" w:lineRule="auto"/>
        <w:contextualSpacing/>
        <w:jc w:val="left"/>
        <w:rPr>
          <w:rFonts w:eastAsia="Calibri"/>
          <w:color w:val="auto"/>
          <w:spacing w:val="0"/>
          <w:sz w:val="24"/>
          <w:szCs w:val="24"/>
        </w:rPr>
      </w:pPr>
      <w:r w:rsidRPr="009D211D">
        <w:rPr>
          <w:rFonts w:eastAsia="Calibri"/>
          <w:color w:val="auto"/>
          <w:spacing w:val="0"/>
          <w:sz w:val="24"/>
          <w:szCs w:val="24"/>
        </w:rPr>
        <w:t>Partners will undertake the training required to the national standard for their role as specified in the National Patient Safety Syllabus as well as other relevant training</w:t>
      </w:r>
    </w:p>
    <w:p w:rsidR="00D22118" w:rsidRPr="009D211D" w:rsidRDefault="00D22118" w:rsidP="009D211D">
      <w:pPr>
        <w:numPr>
          <w:ilvl w:val="0"/>
          <w:numId w:val="18"/>
        </w:numPr>
        <w:spacing w:after="200" w:line="276" w:lineRule="auto"/>
        <w:contextualSpacing/>
        <w:jc w:val="left"/>
        <w:rPr>
          <w:rFonts w:eastAsia="Calibri"/>
          <w:color w:val="auto"/>
          <w:spacing w:val="0"/>
          <w:sz w:val="24"/>
          <w:szCs w:val="24"/>
        </w:rPr>
      </w:pPr>
      <w:r w:rsidRPr="009D211D">
        <w:rPr>
          <w:rFonts w:eastAsia="Calibri"/>
          <w:color w:val="auto"/>
          <w:spacing w:val="0"/>
          <w:sz w:val="24"/>
          <w:szCs w:val="24"/>
        </w:rPr>
        <w:t>Participate in investigation oversight groups and be active members of the PSRIF implementation Group, Patient Safety Summit and other work streams with the aim of helping us design safer systems of care and prioritise risk.</w:t>
      </w:r>
    </w:p>
    <w:p w:rsidR="00D22118" w:rsidRPr="009D211D" w:rsidRDefault="00D22118" w:rsidP="009D211D">
      <w:pPr>
        <w:numPr>
          <w:ilvl w:val="0"/>
          <w:numId w:val="18"/>
        </w:numPr>
        <w:spacing w:after="200" w:line="276" w:lineRule="auto"/>
        <w:contextualSpacing/>
        <w:jc w:val="left"/>
        <w:rPr>
          <w:rFonts w:eastAsia="Calibri"/>
          <w:color w:val="auto"/>
          <w:spacing w:val="0"/>
          <w:sz w:val="24"/>
          <w:szCs w:val="24"/>
        </w:rPr>
      </w:pPr>
      <w:r w:rsidRPr="009D211D">
        <w:rPr>
          <w:rFonts w:eastAsia="Calibri"/>
          <w:color w:val="auto"/>
          <w:spacing w:val="0"/>
          <w:sz w:val="24"/>
          <w:szCs w:val="24"/>
        </w:rPr>
        <w:t>Contribute to action plans following learning response, particularly around actions that address the needs of patients.</w:t>
      </w:r>
    </w:p>
    <w:p w:rsidR="00D22118" w:rsidRPr="009D211D" w:rsidRDefault="00D22118" w:rsidP="009D211D">
      <w:pPr>
        <w:numPr>
          <w:ilvl w:val="0"/>
          <w:numId w:val="18"/>
        </w:numPr>
        <w:spacing w:after="200" w:line="276" w:lineRule="auto"/>
        <w:contextualSpacing/>
        <w:jc w:val="left"/>
        <w:rPr>
          <w:rFonts w:eastAsia="Calibri"/>
          <w:color w:val="auto"/>
          <w:spacing w:val="0"/>
          <w:sz w:val="24"/>
          <w:szCs w:val="24"/>
        </w:rPr>
      </w:pPr>
      <w:r w:rsidRPr="009D211D">
        <w:rPr>
          <w:rFonts w:eastAsia="Calibri"/>
          <w:color w:val="auto"/>
          <w:spacing w:val="0"/>
          <w:sz w:val="24"/>
          <w:szCs w:val="24"/>
        </w:rPr>
        <w:t>Contribute to staff patient safety training</w:t>
      </w:r>
    </w:p>
    <w:p w:rsidR="00B425E2" w:rsidRPr="009D211D" w:rsidRDefault="00B425E2" w:rsidP="009D211D">
      <w:pPr>
        <w:spacing w:after="200" w:line="276" w:lineRule="auto"/>
        <w:ind w:left="720"/>
        <w:contextualSpacing/>
        <w:jc w:val="left"/>
        <w:rPr>
          <w:rFonts w:eastAsia="Calibri"/>
          <w:color w:val="auto"/>
          <w:spacing w:val="0"/>
          <w:sz w:val="24"/>
          <w:szCs w:val="24"/>
        </w:rPr>
      </w:pPr>
    </w:p>
    <w:p w:rsidR="00D22118" w:rsidRPr="009D211D" w:rsidRDefault="00D22118" w:rsidP="009D211D">
      <w:pPr>
        <w:spacing w:after="200"/>
        <w:jc w:val="left"/>
        <w:rPr>
          <w:rFonts w:eastAsia="Calibri"/>
          <w:b/>
          <w:color w:val="auto"/>
          <w:spacing w:val="0"/>
          <w:sz w:val="24"/>
          <w:szCs w:val="24"/>
        </w:rPr>
      </w:pPr>
      <w:r w:rsidRPr="009D211D">
        <w:rPr>
          <w:rFonts w:eastAsia="Calibri"/>
          <w:b/>
          <w:color w:val="auto"/>
          <w:spacing w:val="0"/>
          <w:sz w:val="24"/>
          <w:szCs w:val="24"/>
        </w:rPr>
        <w:t>Risk and incident team</w:t>
      </w:r>
    </w:p>
    <w:p w:rsidR="00D22118" w:rsidRPr="009D211D" w:rsidRDefault="00D22118" w:rsidP="009D211D">
      <w:pPr>
        <w:numPr>
          <w:ilvl w:val="0"/>
          <w:numId w:val="18"/>
        </w:numPr>
        <w:spacing w:after="200"/>
        <w:contextualSpacing/>
        <w:jc w:val="left"/>
        <w:rPr>
          <w:rFonts w:eastAsia="Calibri"/>
          <w:color w:val="auto"/>
          <w:spacing w:val="0"/>
          <w:sz w:val="24"/>
          <w:szCs w:val="24"/>
        </w:rPr>
      </w:pPr>
      <w:r w:rsidRPr="009D211D">
        <w:rPr>
          <w:rFonts w:eastAsia="Calibri"/>
          <w:color w:val="auto"/>
          <w:spacing w:val="0"/>
          <w:sz w:val="24"/>
          <w:szCs w:val="24"/>
        </w:rPr>
        <w:t>Develop and maintain the local risk management systems and relevant incident reporting systems (including StEIS and its replacement once introduced) to support the recording and sharing of patient safety incidents and monitoring of incident response processes.</w:t>
      </w:r>
    </w:p>
    <w:p w:rsidR="00B56401" w:rsidRPr="009D211D" w:rsidRDefault="00B56401" w:rsidP="009D211D">
      <w:pPr>
        <w:numPr>
          <w:ilvl w:val="0"/>
          <w:numId w:val="18"/>
        </w:numPr>
        <w:spacing w:after="200"/>
        <w:contextualSpacing/>
        <w:jc w:val="left"/>
        <w:rPr>
          <w:rFonts w:eastAsia="Calibri"/>
          <w:color w:val="auto"/>
          <w:spacing w:val="0"/>
          <w:sz w:val="24"/>
          <w:szCs w:val="24"/>
        </w:rPr>
      </w:pPr>
      <w:r w:rsidRPr="009D211D">
        <w:rPr>
          <w:rFonts w:eastAsia="Calibri"/>
          <w:color w:val="auto"/>
          <w:spacing w:val="0"/>
          <w:sz w:val="24"/>
          <w:szCs w:val="24"/>
        </w:rPr>
        <w:t>Work with the Patent Safety Team to review new emerging trends through reporting and encourage early investigation to reduce negative impact from incidents.</w:t>
      </w:r>
    </w:p>
    <w:p w:rsidR="00D22118" w:rsidRPr="009D211D" w:rsidRDefault="00D22118" w:rsidP="009D211D">
      <w:pPr>
        <w:autoSpaceDE w:val="0"/>
        <w:autoSpaceDN w:val="0"/>
        <w:adjustRightInd w:val="0"/>
        <w:jc w:val="left"/>
        <w:rPr>
          <w:rFonts w:eastAsia="Calibri" w:cs="Arial"/>
          <w:b/>
          <w:bCs/>
          <w:spacing w:val="0"/>
          <w:sz w:val="24"/>
          <w:szCs w:val="24"/>
        </w:rPr>
      </w:pPr>
    </w:p>
    <w:p w:rsidR="00D22118" w:rsidRPr="009D211D" w:rsidRDefault="00D22118" w:rsidP="009D211D">
      <w:pPr>
        <w:autoSpaceDE w:val="0"/>
        <w:autoSpaceDN w:val="0"/>
        <w:adjustRightInd w:val="0"/>
        <w:jc w:val="left"/>
        <w:rPr>
          <w:rFonts w:eastAsia="Calibri" w:cs="Arial"/>
          <w:b/>
          <w:bCs/>
          <w:spacing w:val="0"/>
          <w:sz w:val="24"/>
          <w:szCs w:val="24"/>
        </w:rPr>
      </w:pPr>
      <w:r w:rsidRPr="009D211D">
        <w:rPr>
          <w:rFonts w:eastAsia="Calibri" w:cs="Arial"/>
          <w:b/>
          <w:bCs/>
          <w:spacing w:val="0"/>
          <w:sz w:val="24"/>
          <w:szCs w:val="24"/>
        </w:rPr>
        <w:t xml:space="preserve">Patient safety incident investigators </w:t>
      </w:r>
    </w:p>
    <w:p w:rsidR="00D22118" w:rsidRPr="009D211D" w:rsidRDefault="00D22118" w:rsidP="009D211D">
      <w:pPr>
        <w:autoSpaceDE w:val="0"/>
        <w:autoSpaceDN w:val="0"/>
        <w:adjustRightInd w:val="0"/>
        <w:jc w:val="left"/>
        <w:rPr>
          <w:rFonts w:eastAsia="Calibri" w:cs="Arial"/>
          <w:spacing w:val="0"/>
          <w:sz w:val="24"/>
          <w:szCs w:val="24"/>
        </w:rPr>
      </w:pPr>
    </w:p>
    <w:p w:rsidR="00D22118" w:rsidRPr="009D211D" w:rsidRDefault="00D22118" w:rsidP="009D211D">
      <w:pPr>
        <w:numPr>
          <w:ilvl w:val="0"/>
          <w:numId w:val="18"/>
        </w:numPr>
        <w:autoSpaceDE w:val="0"/>
        <w:autoSpaceDN w:val="0"/>
        <w:adjustRightInd w:val="0"/>
        <w:spacing w:after="78"/>
        <w:jc w:val="left"/>
        <w:rPr>
          <w:rFonts w:eastAsia="Calibri" w:cs="Arial"/>
          <w:spacing w:val="0"/>
          <w:sz w:val="24"/>
          <w:szCs w:val="24"/>
        </w:rPr>
      </w:pPr>
      <w:r w:rsidRPr="009D211D">
        <w:rPr>
          <w:rFonts w:eastAsia="Calibri" w:cs="Arial"/>
          <w:spacing w:val="0"/>
          <w:sz w:val="24"/>
          <w:szCs w:val="24"/>
        </w:rPr>
        <w:t xml:space="preserve">Patient safety incident investigators will have been trained over a minimum of two days in systems-based PSII. </w:t>
      </w:r>
    </w:p>
    <w:p w:rsidR="00D22118" w:rsidRPr="009D211D" w:rsidRDefault="00D22118" w:rsidP="009D211D">
      <w:pPr>
        <w:numPr>
          <w:ilvl w:val="0"/>
          <w:numId w:val="18"/>
        </w:numPr>
        <w:autoSpaceDE w:val="0"/>
        <w:autoSpaceDN w:val="0"/>
        <w:adjustRightInd w:val="0"/>
        <w:spacing w:after="78"/>
        <w:jc w:val="left"/>
        <w:rPr>
          <w:rFonts w:eastAsia="Calibri" w:cs="Arial"/>
          <w:spacing w:val="0"/>
          <w:sz w:val="24"/>
          <w:szCs w:val="24"/>
        </w:rPr>
      </w:pPr>
      <w:r w:rsidRPr="009D211D">
        <w:rPr>
          <w:rFonts w:eastAsia="Calibri" w:cs="Arial"/>
          <w:spacing w:val="0"/>
          <w:sz w:val="24"/>
          <w:szCs w:val="24"/>
        </w:rPr>
        <w:t xml:space="preserve">Ensure that PSIIs are undertaken in-line with the national PSII standards. </w:t>
      </w:r>
    </w:p>
    <w:p w:rsidR="00D22118" w:rsidRPr="009D211D" w:rsidRDefault="00D22118" w:rsidP="009D211D">
      <w:pPr>
        <w:numPr>
          <w:ilvl w:val="0"/>
          <w:numId w:val="18"/>
        </w:numPr>
        <w:autoSpaceDE w:val="0"/>
        <w:autoSpaceDN w:val="0"/>
        <w:adjustRightInd w:val="0"/>
        <w:spacing w:after="78"/>
        <w:jc w:val="left"/>
        <w:rPr>
          <w:rFonts w:eastAsia="Calibri" w:cs="Arial"/>
          <w:spacing w:val="0"/>
          <w:sz w:val="24"/>
          <w:szCs w:val="24"/>
        </w:rPr>
      </w:pPr>
      <w:r w:rsidRPr="009D211D">
        <w:rPr>
          <w:rFonts w:eastAsia="Calibri" w:cs="Arial"/>
          <w:spacing w:val="0"/>
          <w:sz w:val="24"/>
          <w:szCs w:val="24"/>
        </w:rPr>
        <w:t xml:space="preserve">Ensure that they are competent to undertake the PSII assigned to them and if not, request it is reassigned. </w:t>
      </w:r>
    </w:p>
    <w:p w:rsidR="00D22118" w:rsidRPr="009D211D" w:rsidRDefault="00D22118" w:rsidP="009D211D">
      <w:pPr>
        <w:numPr>
          <w:ilvl w:val="0"/>
          <w:numId w:val="18"/>
        </w:numPr>
        <w:autoSpaceDE w:val="0"/>
        <w:autoSpaceDN w:val="0"/>
        <w:adjustRightInd w:val="0"/>
        <w:spacing w:after="78"/>
        <w:jc w:val="left"/>
        <w:rPr>
          <w:rFonts w:eastAsia="Calibri" w:cs="Arial"/>
          <w:spacing w:val="0"/>
          <w:sz w:val="24"/>
          <w:szCs w:val="24"/>
        </w:rPr>
      </w:pPr>
      <w:r w:rsidRPr="009D211D">
        <w:rPr>
          <w:rFonts w:eastAsia="Calibri" w:cs="Arial"/>
          <w:spacing w:val="0"/>
          <w:sz w:val="24"/>
          <w:szCs w:val="24"/>
        </w:rPr>
        <w:t xml:space="preserve">Undertake PSIIs and PSII-related duties in line with latest national guidance and training. </w:t>
      </w:r>
    </w:p>
    <w:p w:rsidR="00D22118" w:rsidRPr="009D211D" w:rsidRDefault="00D22118" w:rsidP="009D211D">
      <w:pPr>
        <w:numPr>
          <w:ilvl w:val="0"/>
          <w:numId w:val="18"/>
        </w:numPr>
        <w:autoSpaceDE w:val="0"/>
        <w:autoSpaceDN w:val="0"/>
        <w:adjustRightInd w:val="0"/>
        <w:spacing w:after="200"/>
        <w:jc w:val="left"/>
        <w:rPr>
          <w:rFonts w:eastAsia="Calibri" w:cs="Arial"/>
          <w:spacing w:val="0"/>
          <w:sz w:val="24"/>
          <w:szCs w:val="24"/>
        </w:rPr>
      </w:pPr>
      <w:r w:rsidRPr="009D211D">
        <w:rPr>
          <w:rFonts w:eastAsia="Calibri" w:cs="Arial"/>
          <w:spacing w:val="0"/>
          <w:sz w:val="24"/>
          <w:szCs w:val="24"/>
        </w:rPr>
        <w:t xml:space="preserve">Provide liaison with patients and families subject to a patient safety incident investigation </w:t>
      </w:r>
    </w:p>
    <w:p w:rsidR="00D22118" w:rsidRPr="009D211D" w:rsidRDefault="00D22118" w:rsidP="009D211D">
      <w:pPr>
        <w:spacing w:after="200" w:line="276" w:lineRule="auto"/>
        <w:jc w:val="left"/>
        <w:rPr>
          <w:rFonts w:eastAsia="Calibri"/>
          <w:b/>
          <w:color w:val="auto"/>
          <w:spacing w:val="0"/>
          <w:sz w:val="24"/>
          <w:szCs w:val="24"/>
        </w:rPr>
      </w:pPr>
      <w:r w:rsidRPr="009D211D">
        <w:rPr>
          <w:rFonts w:eastAsia="Calibri"/>
          <w:b/>
          <w:color w:val="auto"/>
          <w:spacing w:val="0"/>
          <w:sz w:val="24"/>
          <w:szCs w:val="24"/>
        </w:rPr>
        <w:lastRenderedPageBreak/>
        <w:t>Patient Safety Clinical Risk Group (PSCRG)</w:t>
      </w:r>
    </w:p>
    <w:p w:rsidR="00D22118" w:rsidRPr="009D211D" w:rsidRDefault="00D22118" w:rsidP="009D211D">
      <w:pPr>
        <w:spacing w:after="200" w:line="276" w:lineRule="auto"/>
        <w:jc w:val="left"/>
        <w:rPr>
          <w:rFonts w:eastAsia="Calibri"/>
          <w:color w:val="auto"/>
          <w:spacing w:val="0"/>
          <w:sz w:val="24"/>
          <w:szCs w:val="24"/>
        </w:rPr>
      </w:pPr>
      <w:r w:rsidRPr="009D211D">
        <w:rPr>
          <w:rFonts w:eastAsia="Calibri"/>
          <w:color w:val="auto"/>
          <w:spacing w:val="0"/>
          <w:sz w:val="24"/>
          <w:szCs w:val="24"/>
        </w:rPr>
        <w:t>Patient Safety Clinical Risk Group (PSCRG) has responsibilities for ensuring we have an effective incident management system. PSCRG reports to the Quality Committee and provides assurance on reports/evidence received. Where there are concerns identified on robustness of actions or progress of implementation, the chair of PSCRG will seek assurances from senior management that risks are being addressed. There will be a monthly update on the organisation’s progress against this PSIRP.</w:t>
      </w:r>
    </w:p>
    <w:p w:rsidR="00D22118" w:rsidRPr="009D211D" w:rsidRDefault="00D22118" w:rsidP="009D211D">
      <w:pPr>
        <w:spacing w:after="200"/>
        <w:jc w:val="left"/>
        <w:rPr>
          <w:rFonts w:eastAsia="Calibri"/>
          <w:b/>
          <w:color w:val="auto"/>
          <w:spacing w:val="0"/>
          <w:sz w:val="24"/>
          <w:szCs w:val="24"/>
        </w:rPr>
      </w:pPr>
      <w:r w:rsidRPr="009D211D">
        <w:rPr>
          <w:rFonts w:eastAsia="Calibri"/>
          <w:b/>
          <w:color w:val="auto"/>
          <w:spacing w:val="0"/>
          <w:sz w:val="24"/>
          <w:szCs w:val="24"/>
        </w:rPr>
        <w:t xml:space="preserve">Quality Committee </w:t>
      </w:r>
    </w:p>
    <w:p w:rsidR="001059C6" w:rsidRPr="009D211D" w:rsidRDefault="00D22118" w:rsidP="009D211D">
      <w:pPr>
        <w:spacing w:after="200"/>
        <w:jc w:val="left"/>
        <w:rPr>
          <w:rFonts w:eastAsia="Calibri"/>
          <w:color w:val="auto"/>
          <w:spacing w:val="0"/>
          <w:sz w:val="24"/>
          <w:szCs w:val="24"/>
        </w:rPr>
      </w:pPr>
      <w:r w:rsidRPr="009D211D">
        <w:rPr>
          <w:rFonts w:eastAsia="Calibri"/>
          <w:color w:val="auto"/>
          <w:spacing w:val="0"/>
          <w:sz w:val="24"/>
          <w:szCs w:val="24"/>
        </w:rPr>
        <w:t xml:space="preserve">The Quality Assurance Committee has responsibility for reviewing completed reports and system improvement plans for effectiveness. </w:t>
      </w:r>
    </w:p>
    <w:p w:rsidR="001059C6" w:rsidRPr="009D211D" w:rsidRDefault="001059C6" w:rsidP="009D211D">
      <w:pPr>
        <w:pStyle w:val="Heading1"/>
        <w:numPr>
          <w:ilvl w:val="0"/>
          <w:numId w:val="0"/>
        </w:numPr>
      </w:pPr>
    </w:p>
    <w:p w:rsidR="00F12377" w:rsidRPr="009D211D" w:rsidRDefault="00523791" w:rsidP="009D211D">
      <w:pPr>
        <w:pStyle w:val="Heading1"/>
        <w:numPr>
          <w:ilvl w:val="0"/>
          <w:numId w:val="0"/>
        </w:numPr>
        <w:tabs>
          <w:tab w:val="left" w:pos="1140"/>
        </w:tabs>
      </w:pPr>
      <w:r w:rsidRPr="009D211D">
        <w:t>6</w:t>
      </w:r>
      <w:r w:rsidR="00607771" w:rsidRPr="009D211D">
        <w:t>.0</w:t>
      </w:r>
      <w:r w:rsidR="00A66B2F" w:rsidRPr="009D211D">
        <w:t xml:space="preserve">   </w:t>
      </w:r>
      <w:bookmarkStart w:id="27" w:name="_Toc135146554"/>
      <w:r w:rsidR="00D22118" w:rsidRPr="009D211D">
        <w:rPr>
          <w:rFonts w:eastAsia="Calibri" w:cs="Times New Roman"/>
          <w:bCs w:val="0"/>
          <w:caps w:val="0"/>
        </w:rPr>
        <w:t>Patient Safety Incident reporting arrangements</w:t>
      </w:r>
      <w:bookmarkEnd w:id="27"/>
      <w:r w:rsidR="00D22118" w:rsidRPr="009D211D">
        <w:t xml:space="preserve">  </w:t>
      </w:r>
    </w:p>
    <w:p w:rsidR="007F6A01" w:rsidRPr="009D211D" w:rsidRDefault="007F6A01" w:rsidP="009D211D">
      <w:pPr>
        <w:jc w:val="left"/>
        <w:rPr>
          <w:rFonts w:cs="Arial"/>
          <w:b/>
          <w:bCs/>
          <w:caps/>
          <w:color w:val="auto"/>
          <w:spacing w:val="0"/>
          <w:sz w:val="24"/>
          <w:szCs w:val="24"/>
        </w:rPr>
      </w:pPr>
    </w:p>
    <w:p w:rsidR="00D22118" w:rsidRPr="009D211D" w:rsidRDefault="00523791" w:rsidP="009D211D">
      <w:pPr>
        <w:jc w:val="left"/>
        <w:rPr>
          <w:rFonts w:eastAsia="Calibri"/>
          <w:b/>
          <w:color w:val="auto"/>
          <w:spacing w:val="0"/>
          <w:sz w:val="24"/>
          <w:szCs w:val="24"/>
        </w:rPr>
      </w:pPr>
      <w:r w:rsidRPr="009D211D">
        <w:rPr>
          <w:rFonts w:cs="Arial"/>
          <w:b/>
          <w:color w:val="auto"/>
          <w:spacing w:val="0"/>
          <w:sz w:val="24"/>
          <w:szCs w:val="24"/>
          <w:lang w:eastAsia="en-GB"/>
        </w:rPr>
        <w:t>6</w:t>
      </w:r>
      <w:r w:rsidR="005875E5" w:rsidRPr="009D211D">
        <w:rPr>
          <w:rFonts w:cs="Arial"/>
          <w:b/>
          <w:color w:val="auto"/>
          <w:spacing w:val="0"/>
          <w:sz w:val="24"/>
          <w:szCs w:val="24"/>
          <w:lang w:eastAsia="en-GB"/>
        </w:rPr>
        <w:t>.1</w:t>
      </w:r>
      <w:r w:rsidR="00A66B2F" w:rsidRPr="009D211D">
        <w:rPr>
          <w:rFonts w:cs="Arial"/>
          <w:color w:val="auto"/>
          <w:spacing w:val="0"/>
          <w:sz w:val="24"/>
          <w:szCs w:val="24"/>
          <w:lang w:eastAsia="en-GB"/>
        </w:rPr>
        <w:t xml:space="preserve">    </w:t>
      </w:r>
      <w:r w:rsidR="00D22118" w:rsidRPr="009D211D">
        <w:rPr>
          <w:rFonts w:eastAsia="Calibri"/>
          <w:b/>
          <w:color w:val="auto"/>
          <w:spacing w:val="0"/>
          <w:sz w:val="24"/>
          <w:szCs w:val="24"/>
        </w:rPr>
        <w:t>Internal reporting of patient safety incidents (PSIs)</w:t>
      </w:r>
    </w:p>
    <w:p w:rsidR="00D22118" w:rsidRPr="009D211D" w:rsidRDefault="00A66B2F" w:rsidP="009D211D">
      <w:pPr>
        <w:ind w:left="709" w:hanging="709"/>
        <w:jc w:val="left"/>
        <w:rPr>
          <w:rFonts w:cs="Arial"/>
          <w:color w:val="auto"/>
          <w:spacing w:val="0"/>
          <w:sz w:val="24"/>
          <w:szCs w:val="24"/>
          <w:lang w:eastAsia="en-GB"/>
        </w:rPr>
      </w:pPr>
      <w:r w:rsidRPr="009D211D">
        <w:rPr>
          <w:rFonts w:cs="Arial"/>
          <w:color w:val="auto"/>
          <w:spacing w:val="0"/>
          <w:sz w:val="24"/>
          <w:szCs w:val="24"/>
          <w:lang w:eastAsia="en-GB"/>
        </w:rPr>
        <w:t xml:space="preserve"> </w:t>
      </w:r>
    </w:p>
    <w:p w:rsidR="00D22118" w:rsidRPr="009D211D" w:rsidRDefault="00D22118" w:rsidP="009D211D">
      <w:pPr>
        <w:spacing w:after="200"/>
        <w:jc w:val="left"/>
        <w:rPr>
          <w:rFonts w:eastAsia="Calibri"/>
          <w:color w:val="auto"/>
          <w:spacing w:val="0"/>
          <w:sz w:val="24"/>
          <w:szCs w:val="24"/>
        </w:rPr>
      </w:pPr>
      <w:r w:rsidRPr="009D211D">
        <w:rPr>
          <w:rFonts w:eastAsia="Calibri"/>
          <w:color w:val="auto"/>
          <w:spacing w:val="0"/>
          <w:sz w:val="24"/>
          <w:szCs w:val="24"/>
        </w:rPr>
        <w:t>Incident reporting arrangements are detailed within the Trust Incident reporting and management policy.</w:t>
      </w:r>
    </w:p>
    <w:p w:rsidR="00D22118" w:rsidRPr="009D211D" w:rsidRDefault="00D22118" w:rsidP="009D211D">
      <w:pPr>
        <w:spacing w:after="200"/>
        <w:jc w:val="left"/>
        <w:rPr>
          <w:rFonts w:eastAsia="Calibri"/>
          <w:color w:val="auto"/>
          <w:spacing w:val="0"/>
          <w:sz w:val="24"/>
          <w:szCs w:val="24"/>
        </w:rPr>
      </w:pPr>
      <w:r w:rsidRPr="009D211D">
        <w:rPr>
          <w:rFonts w:eastAsia="Calibri"/>
          <w:color w:val="auto"/>
          <w:spacing w:val="0"/>
          <w:sz w:val="24"/>
          <w:szCs w:val="24"/>
        </w:rPr>
        <w:t xml:space="preserve">All staff (including bank, agency, locum and volunteers) has the responsibility to report all incidents </w:t>
      </w:r>
      <w:r w:rsidR="00B75006" w:rsidRPr="00455CCC">
        <w:rPr>
          <w:rFonts w:eastAsia="Calibri"/>
          <w:color w:val="auto"/>
          <w:spacing w:val="0"/>
          <w:sz w:val="24"/>
          <w:szCs w:val="24"/>
        </w:rPr>
        <w:t xml:space="preserve">including low harm, no harm </w:t>
      </w:r>
      <w:r w:rsidRPr="00455CCC">
        <w:rPr>
          <w:rFonts w:eastAsia="Calibri"/>
          <w:color w:val="auto"/>
          <w:spacing w:val="0"/>
          <w:sz w:val="24"/>
          <w:szCs w:val="24"/>
        </w:rPr>
        <w:t>and near misses via</w:t>
      </w:r>
      <w:r w:rsidRPr="009D211D">
        <w:rPr>
          <w:rFonts w:eastAsia="Calibri"/>
          <w:color w:val="auto"/>
          <w:spacing w:val="0"/>
          <w:sz w:val="24"/>
          <w:szCs w:val="24"/>
        </w:rPr>
        <w:t xml:space="preserve"> the Trust electronic incident management system, Datix.</w:t>
      </w:r>
    </w:p>
    <w:p w:rsidR="00D22118" w:rsidRPr="009D211D" w:rsidRDefault="00D22118" w:rsidP="009D211D">
      <w:pPr>
        <w:spacing w:after="200"/>
        <w:jc w:val="left"/>
        <w:rPr>
          <w:rFonts w:eastAsia="Calibri"/>
          <w:color w:val="auto"/>
          <w:spacing w:val="0"/>
          <w:sz w:val="24"/>
          <w:szCs w:val="24"/>
        </w:rPr>
      </w:pPr>
      <w:r w:rsidRPr="009D211D">
        <w:rPr>
          <w:rFonts w:eastAsia="Calibri"/>
          <w:color w:val="auto"/>
          <w:spacing w:val="0"/>
          <w:sz w:val="24"/>
          <w:szCs w:val="24"/>
        </w:rPr>
        <w:t>The patient safety team will review notifiable incidents to determine if further information is required and conduct incident reviews in line with the four-step management process.</w:t>
      </w:r>
    </w:p>
    <w:p w:rsidR="00B05AE7" w:rsidRPr="009D211D" w:rsidRDefault="00D22118" w:rsidP="009D211D">
      <w:pPr>
        <w:spacing w:after="200"/>
        <w:jc w:val="left"/>
        <w:rPr>
          <w:rFonts w:eastAsia="Calibri"/>
          <w:color w:val="auto"/>
          <w:spacing w:val="0"/>
          <w:sz w:val="24"/>
          <w:szCs w:val="24"/>
        </w:rPr>
      </w:pPr>
      <w:r w:rsidRPr="009D211D">
        <w:rPr>
          <w:rFonts w:eastAsia="Calibri"/>
          <w:color w:val="auto"/>
          <w:spacing w:val="0"/>
          <w:sz w:val="24"/>
          <w:szCs w:val="24"/>
        </w:rPr>
        <w:t>Incidents which meet the criteria for a PSII will be reported onto the Strategic Executive Information System (StEIS) or its successor system.</w:t>
      </w:r>
    </w:p>
    <w:p w:rsidR="00D22118" w:rsidRPr="009D211D" w:rsidRDefault="00B05AE7" w:rsidP="009D211D">
      <w:pPr>
        <w:jc w:val="left"/>
        <w:rPr>
          <w:rFonts w:eastAsia="Calibri"/>
          <w:b/>
          <w:color w:val="auto"/>
          <w:spacing w:val="0"/>
          <w:sz w:val="24"/>
          <w:szCs w:val="24"/>
        </w:rPr>
      </w:pPr>
      <w:r w:rsidRPr="009D211D">
        <w:rPr>
          <w:rFonts w:cs="Arial"/>
          <w:b/>
          <w:color w:val="auto"/>
          <w:spacing w:val="0"/>
          <w:sz w:val="24"/>
          <w:szCs w:val="24"/>
          <w:lang w:eastAsia="en-GB"/>
        </w:rPr>
        <w:t>6.2</w:t>
      </w:r>
      <w:r w:rsidRPr="009D211D">
        <w:rPr>
          <w:rFonts w:cs="Arial"/>
          <w:color w:val="auto"/>
          <w:spacing w:val="0"/>
          <w:sz w:val="24"/>
          <w:szCs w:val="24"/>
          <w:lang w:eastAsia="en-GB"/>
        </w:rPr>
        <w:t xml:space="preserve">    </w:t>
      </w:r>
      <w:r w:rsidR="00D22118" w:rsidRPr="009D211D">
        <w:rPr>
          <w:rFonts w:eastAsia="Calibri"/>
          <w:b/>
          <w:color w:val="auto"/>
          <w:spacing w:val="0"/>
          <w:sz w:val="24"/>
          <w:szCs w:val="24"/>
        </w:rPr>
        <w:t>National reporting of patient safety incidents (PSIs)</w:t>
      </w:r>
    </w:p>
    <w:p w:rsidR="00B05AE7" w:rsidRPr="009D211D" w:rsidRDefault="00D22118" w:rsidP="009D211D">
      <w:pPr>
        <w:ind w:left="709" w:hanging="709"/>
        <w:jc w:val="left"/>
        <w:rPr>
          <w:rFonts w:cs="Arial"/>
          <w:color w:val="auto"/>
          <w:spacing w:val="0"/>
          <w:sz w:val="24"/>
          <w:szCs w:val="24"/>
          <w:lang w:eastAsia="en-GB"/>
        </w:rPr>
      </w:pPr>
      <w:r w:rsidRPr="009D211D">
        <w:rPr>
          <w:rFonts w:cs="Arial"/>
          <w:color w:val="auto"/>
          <w:spacing w:val="0"/>
          <w:sz w:val="24"/>
          <w:szCs w:val="24"/>
          <w:lang w:eastAsia="en-GB"/>
        </w:rPr>
        <w:t xml:space="preserve"> </w:t>
      </w:r>
      <w:r w:rsidR="006447C2" w:rsidRPr="009D211D">
        <w:rPr>
          <w:rFonts w:cs="Arial"/>
          <w:color w:val="auto"/>
          <w:spacing w:val="0"/>
          <w:sz w:val="24"/>
          <w:szCs w:val="24"/>
          <w:lang w:eastAsia="en-GB"/>
        </w:rPr>
        <w:t xml:space="preserve">  </w:t>
      </w:r>
    </w:p>
    <w:p w:rsidR="006447C2" w:rsidRPr="009D211D" w:rsidRDefault="006447C2" w:rsidP="009D211D">
      <w:pPr>
        <w:spacing w:after="200"/>
        <w:jc w:val="left"/>
        <w:rPr>
          <w:rFonts w:eastAsia="Calibri"/>
          <w:color w:val="auto"/>
          <w:spacing w:val="0"/>
          <w:sz w:val="24"/>
          <w:szCs w:val="24"/>
        </w:rPr>
      </w:pPr>
      <w:r w:rsidRPr="009D211D">
        <w:rPr>
          <w:rFonts w:eastAsia="Calibri"/>
          <w:color w:val="auto"/>
          <w:spacing w:val="0"/>
          <w:sz w:val="24"/>
          <w:szCs w:val="24"/>
        </w:rPr>
        <w:t>The trust currently reports patient safety incidents to the national reporting and learning system (NRLS) through weekly data uploads.</w:t>
      </w:r>
    </w:p>
    <w:p w:rsidR="006447C2" w:rsidRPr="009D211D" w:rsidRDefault="006447C2" w:rsidP="009D211D">
      <w:pPr>
        <w:spacing w:after="200"/>
        <w:jc w:val="left"/>
        <w:rPr>
          <w:rFonts w:eastAsia="Calibri"/>
          <w:color w:val="auto"/>
          <w:spacing w:val="0"/>
          <w:sz w:val="24"/>
          <w:szCs w:val="24"/>
        </w:rPr>
      </w:pPr>
      <w:r w:rsidRPr="009D211D">
        <w:rPr>
          <w:rFonts w:eastAsia="Calibri"/>
          <w:color w:val="auto"/>
          <w:spacing w:val="0"/>
          <w:sz w:val="24"/>
          <w:szCs w:val="24"/>
        </w:rPr>
        <w:t>In line with the PSIRF, reporting incidents previously defined as ‘serious incidents’ to the national ‘StEIS’ database will cease and StEIS and, at a date to be determined nationally, the replacement system will be used to report and monitor all patient safety incidents including those identified as requiring a patient safety incident investigation.</w:t>
      </w:r>
    </w:p>
    <w:p w:rsidR="006447C2" w:rsidRPr="009D211D" w:rsidRDefault="006447C2" w:rsidP="009D211D">
      <w:pPr>
        <w:spacing w:after="200"/>
        <w:jc w:val="left"/>
        <w:rPr>
          <w:rFonts w:eastAsia="Calibri"/>
          <w:color w:val="auto"/>
          <w:spacing w:val="0"/>
          <w:sz w:val="24"/>
          <w:szCs w:val="24"/>
        </w:rPr>
      </w:pPr>
      <w:r w:rsidRPr="009D211D">
        <w:rPr>
          <w:rFonts w:eastAsia="Calibri"/>
          <w:color w:val="auto"/>
          <w:spacing w:val="0"/>
          <w:sz w:val="24"/>
          <w:szCs w:val="24"/>
        </w:rPr>
        <w:t>Management and monitoring of individual investigations, will remain the responsibility of PSCRG.</w:t>
      </w:r>
    </w:p>
    <w:p w:rsidR="006447C2" w:rsidRPr="009D211D" w:rsidRDefault="006447C2" w:rsidP="009D211D">
      <w:pPr>
        <w:spacing w:after="200"/>
        <w:jc w:val="left"/>
        <w:rPr>
          <w:rFonts w:eastAsia="Calibri"/>
          <w:color w:val="auto"/>
          <w:spacing w:val="0"/>
          <w:sz w:val="24"/>
          <w:szCs w:val="24"/>
        </w:rPr>
      </w:pPr>
      <w:r w:rsidRPr="009D211D">
        <w:rPr>
          <w:rFonts w:eastAsia="Calibri"/>
          <w:color w:val="auto"/>
          <w:spacing w:val="0"/>
          <w:sz w:val="24"/>
          <w:szCs w:val="24"/>
        </w:rPr>
        <w:t>Reporting PSIs and PSIIs to the new ‘</w:t>
      </w:r>
      <w:r w:rsidR="00930654" w:rsidRPr="009D211D">
        <w:rPr>
          <w:rFonts w:eastAsia="Calibri"/>
          <w:color w:val="auto"/>
          <w:spacing w:val="0"/>
          <w:sz w:val="24"/>
          <w:szCs w:val="24"/>
        </w:rPr>
        <w:t>L</w:t>
      </w:r>
      <w:r w:rsidRPr="009D211D">
        <w:rPr>
          <w:rFonts w:eastAsia="Calibri"/>
          <w:color w:val="auto"/>
          <w:spacing w:val="0"/>
          <w:sz w:val="24"/>
          <w:szCs w:val="24"/>
        </w:rPr>
        <w:t xml:space="preserve">earning </w:t>
      </w:r>
      <w:r w:rsidR="00930654" w:rsidRPr="009D211D">
        <w:rPr>
          <w:rFonts w:eastAsia="Calibri"/>
          <w:color w:val="auto"/>
          <w:spacing w:val="0"/>
          <w:sz w:val="24"/>
          <w:szCs w:val="24"/>
        </w:rPr>
        <w:t>F</w:t>
      </w:r>
      <w:r w:rsidRPr="009D211D">
        <w:rPr>
          <w:rFonts w:eastAsia="Calibri"/>
          <w:color w:val="auto"/>
          <w:spacing w:val="0"/>
          <w:sz w:val="24"/>
          <w:szCs w:val="24"/>
        </w:rPr>
        <w:t xml:space="preserve">rom </w:t>
      </w:r>
      <w:r w:rsidR="00930654" w:rsidRPr="009D211D">
        <w:rPr>
          <w:rFonts w:eastAsia="Calibri"/>
          <w:color w:val="auto"/>
          <w:spacing w:val="0"/>
          <w:sz w:val="24"/>
          <w:szCs w:val="24"/>
        </w:rPr>
        <w:t>P</w:t>
      </w:r>
      <w:r w:rsidRPr="009D211D">
        <w:rPr>
          <w:rFonts w:eastAsia="Calibri"/>
          <w:color w:val="auto"/>
          <w:spacing w:val="0"/>
          <w:sz w:val="24"/>
          <w:szCs w:val="24"/>
        </w:rPr>
        <w:t xml:space="preserve">atent </w:t>
      </w:r>
      <w:r w:rsidR="00930654" w:rsidRPr="009D211D">
        <w:rPr>
          <w:rFonts w:eastAsia="Calibri"/>
          <w:color w:val="auto"/>
          <w:spacing w:val="0"/>
          <w:sz w:val="24"/>
          <w:szCs w:val="24"/>
        </w:rPr>
        <w:t>S</w:t>
      </w:r>
      <w:r w:rsidRPr="009D211D">
        <w:rPr>
          <w:rFonts w:eastAsia="Calibri"/>
          <w:color w:val="auto"/>
          <w:spacing w:val="0"/>
          <w:sz w:val="24"/>
          <w:szCs w:val="24"/>
        </w:rPr>
        <w:t xml:space="preserve">afety </w:t>
      </w:r>
      <w:r w:rsidR="00930654" w:rsidRPr="009D211D">
        <w:rPr>
          <w:rFonts w:eastAsia="Calibri"/>
          <w:color w:val="auto"/>
          <w:spacing w:val="0"/>
          <w:sz w:val="24"/>
          <w:szCs w:val="24"/>
        </w:rPr>
        <w:t>E</w:t>
      </w:r>
      <w:r w:rsidRPr="009D211D">
        <w:rPr>
          <w:rFonts w:eastAsia="Calibri"/>
          <w:color w:val="auto"/>
          <w:spacing w:val="0"/>
          <w:sz w:val="24"/>
          <w:szCs w:val="24"/>
        </w:rPr>
        <w:t xml:space="preserve">vents’ </w:t>
      </w:r>
      <w:r w:rsidR="00930654" w:rsidRPr="009D211D">
        <w:rPr>
          <w:rFonts w:eastAsia="Calibri"/>
          <w:color w:val="auto"/>
          <w:spacing w:val="0"/>
          <w:sz w:val="24"/>
          <w:szCs w:val="24"/>
        </w:rPr>
        <w:t xml:space="preserve">(LFPSE) </w:t>
      </w:r>
      <w:r w:rsidRPr="009D211D">
        <w:rPr>
          <w:rFonts w:eastAsia="Calibri"/>
          <w:color w:val="auto"/>
          <w:spacing w:val="0"/>
          <w:sz w:val="24"/>
          <w:szCs w:val="24"/>
        </w:rPr>
        <w:t>system will follow when this replaces the NRLS and further guidance is issued.</w:t>
      </w:r>
    </w:p>
    <w:p w:rsidR="00523791" w:rsidRPr="009D211D" w:rsidRDefault="00523791" w:rsidP="009D211D">
      <w:pPr>
        <w:pStyle w:val="ListParagraph"/>
        <w:ind w:left="0"/>
        <w:jc w:val="left"/>
        <w:rPr>
          <w:rFonts w:cs="Arial"/>
          <w:color w:val="auto"/>
          <w:spacing w:val="0"/>
          <w:sz w:val="24"/>
          <w:szCs w:val="24"/>
          <w:lang w:eastAsia="en-GB"/>
        </w:rPr>
      </w:pPr>
    </w:p>
    <w:p w:rsidR="0046330D" w:rsidRPr="009D211D" w:rsidRDefault="006447C2" w:rsidP="009D211D">
      <w:pPr>
        <w:numPr>
          <w:ilvl w:val="0"/>
          <w:numId w:val="20"/>
        </w:numPr>
        <w:jc w:val="left"/>
        <w:rPr>
          <w:rFonts w:cs="Arial"/>
          <w:b/>
          <w:bCs/>
          <w:spacing w:val="0"/>
          <w:sz w:val="24"/>
          <w:szCs w:val="24"/>
        </w:rPr>
      </w:pPr>
      <w:bookmarkStart w:id="28" w:name="_Toc139334250"/>
      <w:bookmarkStart w:id="29" w:name="_Toc145903640"/>
      <w:bookmarkStart w:id="30" w:name="_Toc176943559"/>
      <w:bookmarkStart w:id="31" w:name="_Toc177183160"/>
      <w:bookmarkStart w:id="32" w:name="_Toc177183244"/>
      <w:bookmarkEnd w:id="11"/>
      <w:bookmarkEnd w:id="12"/>
      <w:bookmarkEnd w:id="13"/>
      <w:bookmarkEnd w:id="14"/>
      <w:bookmarkEnd w:id="15"/>
      <w:bookmarkEnd w:id="16"/>
      <w:bookmarkEnd w:id="17"/>
      <w:bookmarkEnd w:id="18"/>
      <w:bookmarkEnd w:id="19"/>
      <w:bookmarkEnd w:id="20"/>
      <w:bookmarkEnd w:id="21"/>
      <w:bookmarkEnd w:id="22"/>
      <w:r w:rsidRPr="009D211D">
        <w:rPr>
          <w:rFonts w:cs="Arial"/>
          <w:b/>
          <w:bCs/>
          <w:spacing w:val="0"/>
          <w:sz w:val="24"/>
          <w:szCs w:val="24"/>
        </w:rPr>
        <w:t xml:space="preserve"> Support patients, families and carers affected by PSIs</w:t>
      </w:r>
    </w:p>
    <w:p w:rsidR="006447C2" w:rsidRPr="009D211D" w:rsidRDefault="006447C2" w:rsidP="009D211D">
      <w:pPr>
        <w:ind w:left="360"/>
        <w:jc w:val="left"/>
        <w:rPr>
          <w:rFonts w:cs="Arial"/>
          <w:b/>
          <w:bCs/>
          <w:spacing w:val="0"/>
          <w:sz w:val="24"/>
          <w:szCs w:val="24"/>
        </w:rPr>
      </w:pPr>
    </w:p>
    <w:p w:rsidR="006447C2" w:rsidRPr="009D211D" w:rsidRDefault="006447C2" w:rsidP="009D211D">
      <w:pPr>
        <w:spacing w:after="200"/>
        <w:jc w:val="left"/>
        <w:rPr>
          <w:rFonts w:eastAsia="Calibri"/>
          <w:color w:val="auto"/>
          <w:spacing w:val="0"/>
          <w:sz w:val="24"/>
          <w:szCs w:val="24"/>
        </w:rPr>
      </w:pPr>
      <w:r w:rsidRPr="009D211D">
        <w:rPr>
          <w:rFonts w:eastAsia="Calibri"/>
          <w:color w:val="auto"/>
          <w:spacing w:val="0"/>
          <w:sz w:val="24"/>
          <w:szCs w:val="24"/>
        </w:rPr>
        <w:t>The Trust is committed to creating a culture of openness with patients, families and carers particularly when clinical outcomes are not as expected or planned. The Being Open Policy sets out our responsibilities.</w:t>
      </w:r>
    </w:p>
    <w:p w:rsidR="006447C2" w:rsidRPr="009D211D" w:rsidRDefault="006447C2" w:rsidP="009D211D">
      <w:pPr>
        <w:spacing w:after="200"/>
        <w:jc w:val="left"/>
        <w:rPr>
          <w:rFonts w:eastAsia="Calibri"/>
          <w:color w:val="auto"/>
          <w:spacing w:val="0"/>
          <w:sz w:val="24"/>
          <w:szCs w:val="24"/>
        </w:rPr>
      </w:pPr>
      <w:r w:rsidRPr="009D211D">
        <w:rPr>
          <w:rFonts w:eastAsia="Calibri"/>
          <w:color w:val="auto"/>
          <w:spacing w:val="0"/>
          <w:sz w:val="24"/>
          <w:szCs w:val="24"/>
        </w:rPr>
        <w:lastRenderedPageBreak/>
        <w:t xml:space="preserve">Training to support staff awareness of Duty of Candour and staff learning on Duty of Candour is available. </w:t>
      </w:r>
    </w:p>
    <w:p w:rsidR="00930654" w:rsidRPr="009D211D" w:rsidRDefault="00930654" w:rsidP="00552129">
      <w:pPr>
        <w:spacing w:after="200"/>
        <w:rPr>
          <w:rFonts w:eastAsia="Calibri"/>
          <w:color w:val="auto"/>
          <w:spacing w:val="0"/>
          <w:sz w:val="24"/>
          <w:szCs w:val="24"/>
        </w:rPr>
      </w:pPr>
      <w:r w:rsidRPr="009D211D">
        <w:rPr>
          <w:rFonts w:eastAsia="Calibri"/>
          <w:color w:val="auto"/>
          <w:spacing w:val="0"/>
          <w:sz w:val="24"/>
          <w:szCs w:val="24"/>
        </w:rPr>
        <w:t>Our national team has worked with the Health Safety Investigation Branch to develop and deliver training.</w:t>
      </w:r>
    </w:p>
    <w:p w:rsidR="006447C2" w:rsidRPr="009D211D" w:rsidRDefault="006447C2" w:rsidP="009D211D">
      <w:pPr>
        <w:spacing w:after="200"/>
        <w:jc w:val="left"/>
        <w:rPr>
          <w:rFonts w:eastAsia="Calibri"/>
          <w:color w:val="auto"/>
          <w:spacing w:val="0"/>
          <w:sz w:val="24"/>
          <w:szCs w:val="24"/>
        </w:rPr>
      </w:pPr>
      <w:r w:rsidRPr="009D211D">
        <w:rPr>
          <w:rFonts w:eastAsia="Calibri"/>
          <w:color w:val="auto"/>
          <w:spacing w:val="0"/>
          <w:sz w:val="24"/>
          <w:szCs w:val="24"/>
        </w:rPr>
        <w:t>A recent review of the Duty of Candour leaflet was conducted with the Patient Safety team and Patient Safety Partner to ensure patients/families/carers reviewed the right information and support.</w:t>
      </w:r>
    </w:p>
    <w:p w:rsidR="006447C2" w:rsidRPr="009D211D" w:rsidRDefault="006447C2" w:rsidP="009D211D">
      <w:pPr>
        <w:spacing w:after="200"/>
        <w:jc w:val="left"/>
        <w:rPr>
          <w:rFonts w:eastAsia="Calibri"/>
          <w:color w:val="auto"/>
          <w:spacing w:val="0"/>
          <w:sz w:val="24"/>
          <w:szCs w:val="24"/>
        </w:rPr>
      </w:pPr>
      <w:r w:rsidRPr="009D211D">
        <w:rPr>
          <w:rFonts w:eastAsia="Calibri"/>
          <w:color w:val="auto"/>
          <w:spacing w:val="0"/>
          <w:sz w:val="24"/>
          <w:szCs w:val="24"/>
        </w:rPr>
        <w:t xml:space="preserve">The Family involvement document must be completed for all learning response (see </w:t>
      </w:r>
      <w:r w:rsidR="00E31A15" w:rsidRPr="009D211D">
        <w:rPr>
          <w:rFonts w:eastAsia="Calibri"/>
          <w:color w:val="auto"/>
          <w:spacing w:val="0"/>
          <w:sz w:val="24"/>
          <w:szCs w:val="24"/>
        </w:rPr>
        <w:t>A</w:t>
      </w:r>
      <w:r w:rsidRPr="009D211D">
        <w:rPr>
          <w:rFonts w:eastAsia="Calibri"/>
          <w:color w:val="auto"/>
          <w:spacing w:val="0"/>
          <w:sz w:val="24"/>
          <w:szCs w:val="24"/>
        </w:rPr>
        <w:t>ppendix</w:t>
      </w:r>
      <w:r w:rsidR="00E31A15" w:rsidRPr="009D211D">
        <w:rPr>
          <w:rFonts w:eastAsia="Calibri"/>
          <w:color w:val="auto"/>
          <w:spacing w:val="0"/>
          <w:sz w:val="24"/>
          <w:szCs w:val="24"/>
        </w:rPr>
        <w:t xml:space="preserve"> </w:t>
      </w:r>
      <w:r w:rsidR="0023176E" w:rsidRPr="009D211D">
        <w:rPr>
          <w:rFonts w:eastAsia="Calibri"/>
          <w:color w:val="auto"/>
          <w:spacing w:val="0"/>
          <w:sz w:val="24"/>
          <w:szCs w:val="24"/>
        </w:rPr>
        <w:t>4</w:t>
      </w:r>
      <w:r w:rsidRPr="009D211D">
        <w:rPr>
          <w:rFonts w:eastAsia="Calibri"/>
          <w:color w:val="auto"/>
          <w:spacing w:val="0"/>
          <w:sz w:val="24"/>
          <w:szCs w:val="24"/>
        </w:rPr>
        <w:t>).</w:t>
      </w:r>
    </w:p>
    <w:p w:rsidR="00CF5FCB" w:rsidRPr="009D211D" w:rsidRDefault="00CF5FCB" w:rsidP="009D211D">
      <w:pPr>
        <w:spacing w:after="200"/>
        <w:jc w:val="left"/>
        <w:rPr>
          <w:rFonts w:eastAsia="Calibri"/>
          <w:color w:val="auto"/>
          <w:spacing w:val="0"/>
          <w:sz w:val="24"/>
          <w:szCs w:val="24"/>
        </w:rPr>
      </w:pPr>
      <w:r w:rsidRPr="009D211D">
        <w:rPr>
          <w:rFonts w:eastAsia="Calibri"/>
          <w:color w:val="auto"/>
          <w:spacing w:val="0"/>
          <w:sz w:val="24"/>
          <w:szCs w:val="24"/>
        </w:rPr>
        <w:t>Information and Guidance on Duty of Candour is available by contacting the Patient  Safety Team.</w:t>
      </w:r>
    </w:p>
    <w:p w:rsidR="006447C2" w:rsidRPr="009D211D" w:rsidRDefault="006447C2" w:rsidP="009D211D">
      <w:pPr>
        <w:spacing w:after="200"/>
        <w:jc w:val="left"/>
        <w:rPr>
          <w:rFonts w:eastAsia="Calibri"/>
          <w:color w:val="auto"/>
          <w:spacing w:val="0"/>
          <w:sz w:val="24"/>
          <w:szCs w:val="24"/>
        </w:rPr>
      </w:pPr>
      <w:r w:rsidRPr="009D211D">
        <w:rPr>
          <w:rFonts w:eastAsia="Calibri"/>
          <w:color w:val="auto"/>
          <w:spacing w:val="0"/>
          <w:sz w:val="24"/>
          <w:szCs w:val="24"/>
        </w:rPr>
        <w:t>The patient safety team will support with obtaining feedback from patient/families/carers involved in a learning response.</w:t>
      </w:r>
    </w:p>
    <w:p w:rsidR="003E36A7" w:rsidRPr="009D211D" w:rsidRDefault="006447C2" w:rsidP="009D211D">
      <w:pPr>
        <w:numPr>
          <w:ilvl w:val="0"/>
          <w:numId w:val="20"/>
        </w:numPr>
        <w:jc w:val="left"/>
        <w:rPr>
          <w:rFonts w:cs="Arial"/>
          <w:b/>
          <w:bCs/>
          <w:spacing w:val="0"/>
          <w:sz w:val="24"/>
          <w:szCs w:val="24"/>
        </w:rPr>
      </w:pPr>
      <w:r w:rsidRPr="009D211D">
        <w:rPr>
          <w:rFonts w:cs="Arial"/>
          <w:b/>
          <w:bCs/>
          <w:spacing w:val="0"/>
          <w:sz w:val="24"/>
          <w:szCs w:val="24"/>
        </w:rPr>
        <w:t xml:space="preserve"> Support for staff affected by PSIs</w:t>
      </w:r>
    </w:p>
    <w:p w:rsidR="006447C2" w:rsidRPr="009D211D" w:rsidRDefault="006447C2" w:rsidP="009D211D">
      <w:pPr>
        <w:ind w:left="360"/>
        <w:jc w:val="left"/>
        <w:rPr>
          <w:rFonts w:cs="Arial"/>
          <w:bCs/>
          <w:spacing w:val="0"/>
          <w:sz w:val="24"/>
          <w:szCs w:val="24"/>
        </w:rPr>
      </w:pPr>
    </w:p>
    <w:p w:rsidR="006447C2" w:rsidRPr="009D211D" w:rsidRDefault="006447C2" w:rsidP="009D211D">
      <w:pPr>
        <w:spacing w:after="200" w:line="276" w:lineRule="auto"/>
        <w:jc w:val="left"/>
        <w:rPr>
          <w:rFonts w:eastAsia="Calibri"/>
          <w:color w:val="auto"/>
          <w:spacing w:val="0"/>
          <w:sz w:val="24"/>
          <w:szCs w:val="24"/>
        </w:rPr>
      </w:pPr>
      <w:r w:rsidRPr="009D211D">
        <w:rPr>
          <w:rFonts w:eastAsia="Calibri"/>
          <w:color w:val="auto"/>
          <w:spacing w:val="0"/>
          <w:sz w:val="24"/>
          <w:szCs w:val="24"/>
        </w:rPr>
        <w:t xml:space="preserve">KCHFT is committed to the principles of the NHS </w:t>
      </w:r>
      <w:hyperlink r:id="rId14" w:history="1">
        <w:r w:rsidRPr="009D211D">
          <w:rPr>
            <w:rFonts w:eastAsia="Calibri"/>
            <w:color w:val="0000FF"/>
            <w:spacing w:val="0"/>
            <w:sz w:val="24"/>
            <w:szCs w:val="24"/>
            <w:u w:val="single"/>
          </w:rPr>
          <w:t>Just Culture Guide</w:t>
        </w:r>
      </w:hyperlink>
      <w:r w:rsidRPr="009D211D">
        <w:rPr>
          <w:rFonts w:eastAsia="Calibri"/>
          <w:color w:val="auto"/>
          <w:spacing w:val="0"/>
          <w:sz w:val="24"/>
          <w:szCs w:val="24"/>
        </w:rPr>
        <w:t xml:space="preserve"> for ensuring the fair, open and transparent treatment of staff who are involved in patient safety incidents. We have embedded these principles in to our procedures for the review of incidents. The Trust recognises the significant impact being involved in a patient safety incident can have on staff and will ensure staff receive the support they need to positively contribute to the review of the incident and continue working whilst this takes place.</w:t>
      </w:r>
    </w:p>
    <w:p w:rsidR="006447C2" w:rsidRPr="009D211D" w:rsidRDefault="006447C2" w:rsidP="009D211D">
      <w:pPr>
        <w:spacing w:after="200" w:line="276" w:lineRule="auto"/>
        <w:jc w:val="left"/>
        <w:rPr>
          <w:rFonts w:eastAsia="Calibri"/>
          <w:color w:val="auto"/>
          <w:spacing w:val="0"/>
          <w:sz w:val="24"/>
          <w:szCs w:val="24"/>
        </w:rPr>
      </w:pPr>
      <w:r w:rsidRPr="009D211D">
        <w:rPr>
          <w:rFonts w:eastAsia="Calibri"/>
          <w:color w:val="auto"/>
          <w:spacing w:val="0"/>
          <w:sz w:val="24"/>
          <w:szCs w:val="24"/>
        </w:rPr>
        <w:t>The Patient Safety Team will advise and signpost staff involved in patient safety incidents to the most appropriate information about the patient safety incident review process and further support functions.</w:t>
      </w:r>
    </w:p>
    <w:p w:rsidR="006447C2" w:rsidRPr="009D211D" w:rsidRDefault="006447C2" w:rsidP="009D211D">
      <w:pPr>
        <w:jc w:val="left"/>
        <w:rPr>
          <w:rFonts w:cs="Arial"/>
          <w:sz w:val="24"/>
          <w:szCs w:val="24"/>
        </w:rPr>
      </w:pPr>
      <w:r w:rsidRPr="009D211D">
        <w:rPr>
          <w:rFonts w:cs="Arial"/>
          <w:sz w:val="24"/>
          <w:szCs w:val="24"/>
        </w:rPr>
        <w:t>Blended methods will be used provide as confidential space for staff is concerns about organisational matter:</w:t>
      </w:r>
    </w:p>
    <w:p w:rsidR="006447C2" w:rsidRPr="009D211D" w:rsidRDefault="006447C2" w:rsidP="009D211D">
      <w:pPr>
        <w:ind w:left="709" w:hanging="709"/>
        <w:jc w:val="left"/>
        <w:rPr>
          <w:rFonts w:cs="Arial"/>
          <w:color w:val="auto"/>
          <w:spacing w:val="0"/>
          <w:sz w:val="24"/>
          <w:szCs w:val="24"/>
          <w:lang w:eastAsia="en-GB"/>
        </w:rPr>
      </w:pPr>
    </w:p>
    <w:p w:rsidR="006447C2" w:rsidRPr="009D211D" w:rsidRDefault="006447C2" w:rsidP="009D211D">
      <w:pPr>
        <w:numPr>
          <w:ilvl w:val="0"/>
          <w:numId w:val="3"/>
        </w:numPr>
        <w:spacing w:line="276" w:lineRule="auto"/>
        <w:jc w:val="left"/>
        <w:rPr>
          <w:rFonts w:cs="Arial"/>
          <w:sz w:val="24"/>
          <w:szCs w:val="24"/>
        </w:rPr>
      </w:pPr>
      <w:r w:rsidRPr="009D211D">
        <w:rPr>
          <w:rFonts w:eastAsia="Calibri"/>
          <w:color w:val="auto"/>
          <w:spacing w:val="0"/>
          <w:sz w:val="24"/>
          <w:szCs w:val="24"/>
        </w:rPr>
        <w:t>Freedom to Speak up</w:t>
      </w:r>
      <w:r w:rsidRPr="009D211D">
        <w:rPr>
          <w:rFonts w:cs="Arial"/>
          <w:sz w:val="24"/>
          <w:szCs w:val="24"/>
        </w:rPr>
        <w:t xml:space="preserve"> </w:t>
      </w:r>
    </w:p>
    <w:p w:rsidR="006447C2" w:rsidRPr="009D211D" w:rsidRDefault="006447C2" w:rsidP="009D211D">
      <w:pPr>
        <w:numPr>
          <w:ilvl w:val="0"/>
          <w:numId w:val="3"/>
        </w:numPr>
        <w:spacing w:line="276" w:lineRule="auto"/>
        <w:jc w:val="left"/>
        <w:rPr>
          <w:rFonts w:cs="Arial"/>
          <w:sz w:val="24"/>
          <w:szCs w:val="24"/>
        </w:rPr>
      </w:pPr>
      <w:r w:rsidRPr="009D211D">
        <w:rPr>
          <w:rFonts w:cs="Arial"/>
          <w:sz w:val="24"/>
          <w:szCs w:val="24"/>
        </w:rPr>
        <w:t>Policies and guidance are up to date and accessible through the Trusts intranet.</w:t>
      </w:r>
    </w:p>
    <w:p w:rsidR="006447C2" w:rsidRPr="009D211D" w:rsidRDefault="006447C2" w:rsidP="009D211D">
      <w:pPr>
        <w:numPr>
          <w:ilvl w:val="0"/>
          <w:numId w:val="3"/>
        </w:numPr>
        <w:spacing w:line="276" w:lineRule="auto"/>
        <w:jc w:val="left"/>
        <w:rPr>
          <w:rFonts w:cs="Arial"/>
          <w:sz w:val="24"/>
          <w:szCs w:val="24"/>
        </w:rPr>
      </w:pPr>
      <w:r w:rsidRPr="009D211D">
        <w:rPr>
          <w:rFonts w:cs="Arial"/>
          <w:sz w:val="24"/>
          <w:szCs w:val="24"/>
        </w:rPr>
        <w:t xml:space="preserve">Learning through experience via informal supervision or role modelling is encouraged. </w:t>
      </w:r>
    </w:p>
    <w:p w:rsidR="006447C2" w:rsidRPr="009D211D" w:rsidRDefault="006447C2" w:rsidP="009D211D">
      <w:pPr>
        <w:numPr>
          <w:ilvl w:val="0"/>
          <w:numId w:val="3"/>
        </w:numPr>
        <w:spacing w:line="276" w:lineRule="auto"/>
        <w:jc w:val="left"/>
        <w:rPr>
          <w:rFonts w:cs="Arial"/>
          <w:sz w:val="24"/>
          <w:szCs w:val="24"/>
        </w:rPr>
      </w:pPr>
      <w:hyperlink r:id="rId15" w:history="1">
        <w:r w:rsidR="00B23B7A" w:rsidRPr="009D211D">
          <w:rPr>
            <w:rStyle w:val="Hyperlink"/>
            <w:rFonts w:cs="Arial"/>
            <w:sz w:val="24"/>
            <w:szCs w:val="24"/>
          </w:rPr>
          <w:t>Reflection Rounds</w:t>
        </w:r>
      </w:hyperlink>
      <w:r w:rsidR="00B23B7A" w:rsidRPr="009D211D">
        <w:rPr>
          <w:rFonts w:cs="Arial"/>
          <w:sz w:val="24"/>
          <w:szCs w:val="24"/>
        </w:rPr>
        <w:t xml:space="preserve"> </w:t>
      </w:r>
      <w:r w:rsidRPr="009D211D">
        <w:rPr>
          <w:rFonts w:cs="Arial"/>
          <w:sz w:val="24"/>
          <w:szCs w:val="24"/>
        </w:rPr>
        <w:t>, a structured forum for all staff, clinical and non-clinical to come together regularly to discuss the emotional and social aspects of working in healthcare. These are also available to local teams and are referred to as Team time.</w:t>
      </w:r>
    </w:p>
    <w:p w:rsidR="006447C2" w:rsidRPr="009D211D" w:rsidRDefault="000527A9" w:rsidP="009D211D">
      <w:pPr>
        <w:numPr>
          <w:ilvl w:val="0"/>
          <w:numId w:val="3"/>
        </w:numPr>
        <w:spacing w:line="276" w:lineRule="auto"/>
        <w:jc w:val="left"/>
        <w:rPr>
          <w:rFonts w:cs="Arial"/>
          <w:sz w:val="24"/>
          <w:szCs w:val="24"/>
        </w:rPr>
      </w:pPr>
      <w:r w:rsidRPr="009D211D">
        <w:rPr>
          <w:rFonts w:cs="Arial"/>
          <w:sz w:val="24"/>
          <w:szCs w:val="24"/>
        </w:rPr>
        <w:t>“</w:t>
      </w:r>
      <w:r w:rsidR="006447C2" w:rsidRPr="009D211D">
        <w:rPr>
          <w:rFonts w:cs="Arial"/>
          <w:sz w:val="24"/>
          <w:szCs w:val="24"/>
        </w:rPr>
        <w:t>Listening to you</w:t>
      </w:r>
      <w:r w:rsidRPr="009D211D">
        <w:rPr>
          <w:rFonts w:cs="Arial"/>
          <w:sz w:val="24"/>
          <w:szCs w:val="24"/>
        </w:rPr>
        <w:t>”</w:t>
      </w:r>
      <w:r w:rsidR="006447C2" w:rsidRPr="009D211D">
        <w:rPr>
          <w:rFonts w:cs="Arial"/>
          <w:sz w:val="24"/>
          <w:szCs w:val="24"/>
        </w:rPr>
        <w:t xml:space="preserve"> sessions to support feelings and emotions is offered (see Flo for more information or speak to your line manager).</w:t>
      </w:r>
    </w:p>
    <w:p w:rsidR="00CF5FCB" w:rsidRPr="009D211D" w:rsidRDefault="00CF5FCB" w:rsidP="009D211D">
      <w:pPr>
        <w:spacing w:line="276" w:lineRule="auto"/>
        <w:ind w:left="1070"/>
        <w:jc w:val="left"/>
        <w:rPr>
          <w:rFonts w:cs="Arial"/>
          <w:sz w:val="24"/>
          <w:szCs w:val="24"/>
        </w:rPr>
      </w:pPr>
    </w:p>
    <w:p w:rsidR="003E36A7" w:rsidRPr="009D211D" w:rsidRDefault="001D5233" w:rsidP="009D211D">
      <w:pPr>
        <w:jc w:val="left"/>
        <w:rPr>
          <w:rFonts w:cs="Arial"/>
          <w:b/>
          <w:color w:val="auto"/>
          <w:spacing w:val="0"/>
          <w:sz w:val="24"/>
          <w:szCs w:val="24"/>
          <w:lang w:eastAsia="en-GB"/>
        </w:rPr>
      </w:pPr>
      <w:r w:rsidRPr="009D211D">
        <w:rPr>
          <w:rFonts w:cs="Arial"/>
          <w:b/>
          <w:color w:val="auto"/>
          <w:spacing w:val="0"/>
          <w:sz w:val="24"/>
          <w:szCs w:val="24"/>
          <w:lang w:eastAsia="en-GB"/>
        </w:rPr>
        <w:t xml:space="preserve">8.1 </w:t>
      </w:r>
      <w:r w:rsidR="003E36A7" w:rsidRPr="009D211D">
        <w:rPr>
          <w:rFonts w:cs="Arial"/>
          <w:b/>
          <w:color w:val="auto"/>
          <w:spacing w:val="0"/>
          <w:sz w:val="24"/>
          <w:szCs w:val="24"/>
          <w:lang w:eastAsia="en-GB"/>
        </w:rPr>
        <w:t>Support f</w:t>
      </w:r>
      <w:r w:rsidR="0034772C" w:rsidRPr="009D211D">
        <w:rPr>
          <w:rFonts w:cs="Arial"/>
          <w:b/>
          <w:color w:val="auto"/>
          <w:spacing w:val="0"/>
          <w:sz w:val="24"/>
          <w:szCs w:val="24"/>
          <w:lang w:eastAsia="en-GB"/>
        </w:rPr>
        <w:t>or</w:t>
      </w:r>
      <w:r w:rsidR="003E36A7" w:rsidRPr="009D211D">
        <w:rPr>
          <w:rFonts w:cs="Arial"/>
          <w:b/>
          <w:color w:val="auto"/>
          <w:spacing w:val="0"/>
          <w:sz w:val="24"/>
          <w:szCs w:val="24"/>
          <w:lang w:eastAsia="en-GB"/>
        </w:rPr>
        <w:t xml:space="preserve"> Patient Safety Incident Investigators </w:t>
      </w:r>
    </w:p>
    <w:p w:rsidR="001D5233" w:rsidRPr="009D211D" w:rsidRDefault="001D5233" w:rsidP="009D211D">
      <w:pPr>
        <w:spacing w:line="276" w:lineRule="auto"/>
        <w:jc w:val="left"/>
        <w:rPr>
          <w:rFonts w:cs="Arial"/>
          <w:color w:val="auto"/>
          <w:spacing w:val="0"/>
          <w:sz w:val="24"/>
          <w:szCs w:val="24"/>
          <w:lang w:eastAsia="en-GB"/>
        </w:rPr>
      </w:pPr>
    </w:p>
    <w:p w:rsidR="001D5233" w:rsidRPr="009D211D" w:rsidRDefault="001D5233" w:rsidP="009D211D">
      <w:pPr>
        <w:spacing w:line="276" w:lineRule="auto"/>
        <w:jc w:val="left"/>
        <w:rPr>
          <w:rFonts w:cs="Arial"/>
          <w:color w:val="auto"/>
          <w:spacing w:val="0"/>
          <w:sz w:val="24"/>
          <w:szCs w:val="24"/>
          <w:lang w:eastAsia="en-GB"/>
        </w:rPr>
      </w:pPr>
      <w:r w:rsidRPr="009D211D">
        <w:rPr>
          <w:rFonts w:cs="Arial"/>
          <w:color w:val="auto"/>
          <w:spacing w:val="0"/>
          <w:sz w:val="24"/>
          <w:szCs w:val="24"/>
          <w:lang w:eastAsia="en-GB"/>
        </w:rPr>
        <w:t>All staff with knowledge of the events being reviewed are encouraged to actively participate in the learning response. That may be through submitting written information, joining a debrief meeting or a one-to-one conversation with the incident review team.</w:t>
      </w:r>
    </w:p>
    <w:p w:rsidR="001D5233" w:rsidRPr="009D211D" w:rsidRDefault="001D5233" w:rsidP="009D211D">
      <w:pPr>
        <w:spacing w:line="276" w:lineRule="auto"/>
        <w:jc w:val="left"/>
        <w:rPr>
          <w:rFonts w:cs="Arial"/>
          <w:color w:val="auto"/>
          <w:spacing w:val="0"/>
          <w:sz w:val="24"/>
          <w:szCs w:val="24"/>
          <w:lang w:eastAsia="en-GB"/>
        </w:rPr>
      </w:pPr>
    </w:p>
    <w:p w:rsidR="001D5233" w:rsidRPr="009D211D" w:rsidRDefault="001D5233" w:rsidP="009D211D">
      <w:pPr>
        <w:spacing w:line="276" w:lineRule="auto"/>
        <w:jc w:val="left"/>
        <w:rPr>
          <w:rFonts w:cs="Arial"/>
          <w:color w:val="auto"/>
          <w:spacing w:val="0"/>
          <w:sz w:val="24"/>
          <w:szCs w:val="24"/>
          <w:lang w:eastAsia="en-GB"/>
        </w:rPr>
      </w:pPr>
      <w:r w:rsidRPr="009D211D">
        <w:rPr>
          <w:rFonts w:cs="Arial"/>
          <w:color w:val="auto"/>
          <w:spacing w:val="0"/>
          <w:sz w:val="24"/>
          <w:szCs w:val="24"/>
          <w:lang w:eastAsia="en-GB"/>
        </w:rPr>
        <w:t>Review teams will agree with staff the timescales for feedback of progress and findings in accordance with the type of review method being utilised.</w:t>
      </w:r>
    </w:p>
    <w:p w:rsidR="001D5233" w:rsidRPr="009D211D" w:rsidRDefault="001D5233" w:rsidP="009D211D">
      <w:pPr>
        <w:spacing w:line="276" w:lineRule="auto"/>
        <w:jc w:val="left"/>
        <w:rPr>
          <w:rFonts w:cs="Arial"/>
          <w:color w:val="auto"/>
          <w:spacing w:val="0"/>
          <w:sz w:val="24"/>
          <w:szCs w:val="24"/>
          <w:lang w:eastAsia="en-GB"/>
        </w:rPr>
      </w:pPr>
    </w:p>
    <w:p w:rsidR="003E36A7" w:rsidRPr="009D211D" w:rsidRDefault="001D5233" w:rsidP="009D211D">
      <w:pPr>
        <w:spacing w:line="276" w:lineRule="auto"/>
        <w:jc w:val="left"/>
        <w:rPr>
          <w:rFonts w:cs="Arial"/>
          <w:color w:val="auto"/>
          <w:spacing w:val="0"/>
          <w:sz w:val="24"/>
          <w:szCs w:val="24"/>
          <w:lang w:eastAsia="en-GB"/>
        </w:rPr>
      </w:pPr>
      <w:r w:rsidRPr="009D211D">
        <w:rPr>
          <w:rFonts w:cs="Arial"/>
          <w:color w:val="auto"/>
          <w:spacing w:val="0"/>
          <w:sz w:val="24"/>
          <w:szCs w:val="24"/>
          <w:lang w:eastAsia="en-GB"/>
        </w:rPr>
        <w:t>All contact with staff will involve the collection of their account of the events and also their views and opinions on how systems can be improved.</w:t>
      </w:r>
    </w:p>
    <w:p w:rsidR="003E36A7" w:rsidRPr="009D211D" w:rsidRDefault="003E36A7" w:rsidP="009D211D">
      <w:pPr>
        <w:ind w:left="1080"/>
        <w:jc w:val="left"/>
        <w:rPr>
          <w:rFonts w:cs="Arial"/>
          <w:b/>
          <w:bCs/>
          <w:spacing w:val="0"/>
          <w:sz w:val="24"/>
          <w:szCs w:val="24"/>
        </w:rPr>
      </w:pPr>
    </w:p>
    <w:p w:rsidR="003E36A7" w:rsidRPr="009D211D" w:rsidRDefault="001D5233" w:rsidP="009D211D">
      <w:pPr>
        <w:numPr>
          <w:ilvl w:val="0"/>
          <w:numId w:val="20"/>
        </w:numPr>
        <w:jc w:val="left"/>
        <w:rPr>
          <w:rFonts w:cs="Arial"/>
          <w:b/>
          <w:bCs/>
          <w:spacing w:val="0"/>
          <w:sz w:val="24"/>
          <w:szCs w:val="24"/>
        </w:rPr>
      </w:pPr>
      <w:r w:rsidRPr="009D211D">
        <w:rPr>
          <w:rFonts w:cs="Arial"/>
          <w:b/>
          <w:bCs/>
          <w:spacing w:val="0"/>
          <w:sz w:val="24"/>
          <w:szCs w:val="24"/>
        </w:rPr>
        <w:t xml:space="preserve"> Monitoring outcomes of PSIIs and </w:t>
      </w:r>
      <w:r w:rsidR="0034772C" w:rsidRPr="009D211D">
        <w:rPr>
          <w:rFonts w:cs="Arial"/>
          <w:b/>
          <w:bCs/>
          <w:spacing w:val="0"/>
          <w:sz w:val="24"/>
          <w:szCs w:val="24"/>
        </w:rPr>
        <w:t>Learning responses</w:t>
      </w:r>
    </w:p>
    <w:p w:rsidR="006447C2" w:rsidRPr="009D211D" w:rsidRDefault="006447C2" w:rsidP="009D211D">
      <w:pPr>
        <w:ind w:left="720"/>
        <w:jc w:val="left"/>
        <w:rPr>
          <w:rFonts w:cs="Arial"/>
          <w:b/>
          <w:bCs/>
          <w:i/>
          <w:spacing w:val="0"/>
          <w:sz w:val="24"/>
          <w:szCs w:val="24"/>
        </w:rPr>
      </w:pPr>
    </w:p>
    <w:p w:rsidR="00756AB1" w:rsidRPr="009D211D" w:rsidRDefault="00756AB1" w:rsidP="009D211D">
      <w:pPr>
        <w:spacing w:line="276" w:lineRule="auto"/>
        <w:jc w:val="left"/>
        <w:rPr>
          <w:rFonts w:cs="Arial"/>
          <w:spacing w:val="0"/>
          <w:sz w:val="24"/>
          <w:szCs w:val="24"/>
        </w:rPr>
      </w:pPr>
      <w:r w:rsidRPr="009D211D">
        <w:rPr>
          <w:rFonts w:cs="Arial"/>
          <w:spacing w:val="0"/>
          <w:sz w:val="24"/>
          <w:szCs w:val="24"/>
        </w:rPr>
        <w:t>The current Serious Incident Review Group (SIRG) will be renamed and Terms and Reference reviewed to include strategic oversight. The group will now be called Patient Safety Oversight and Learning Response Group.</w:t>
      </w:r>
    </w:p>
    <w:p w:rsidR="001D5233" w:rsidRPr="009D211D" w:rsidRDefault="001D5233" w:rsidP="009D211D">
      <w:pPr>
        <w:spacing w:line="276" w:lineRule="auto"/>
        <w:jc w:val="left"/>
        <w:rPr>
          <w:rFonts w:cs="Arial"/>
          <w:spacing w:val="0"/>
          <w:sz w:val="24"/>
          <w:szCs w:val="24"/>
        </w:rPr>
      </w:pPr>
      <w:r w:rsidRPr="009D211D">
        <w:rPr>
          <w:rFonts w:cs="Arial"/>
          <w:spacing w:val="0"/>
          <w:sz w:val="24"/>
          <w:szCs w:val="24"/>
        </w:rPr>
        <w:t>Regular update reports will be created for Committee and Board review and assurance. Contents may vary, but will likely include aggregated data on:</w:t>
      </w:r>
    </w:p>
    <w:p w:rsidR="001D5233" w:rsidRPr="009D211D" w:rsidRDefault="001D5233" w:rsidP="009D211D">
      <w:pPr>
        <w:numPr>
          <w:ilvl w:val="0"/>
          <w:numId w:val="21"/>
        </w:numPr>
        <w:spacing w:line="276" w:lineRule="auto"/>
        <w:jc w:val="left"/>
        <w:rPr>
          <w:rFonts w:cs="Arial"/>
          <w:spacing w:val="0"/>
          <w:sz w:val="24"/>
          <w:szCs w:val="24"/>
        </w:rPr>
      </w:pPr>
      <w:r w:rsidRPr="009D211D">
        <w:rPr>
          <w:rFonts w:cs="Arial"/>
          <w:spacing w:val="0"/>
          <w:sz w:val="24"/>
          <w:szCs w:val="24"/>
        </w:rPr>
        <w:t>Patient safety incident reporting</w:t>
      </w:r>
    </w:p>
    <w:p w:rsidR="001D5233" w:rsidRPr="009D211D" w:rsidRDefault="001D5233" w:rsidP="009D211D">
      <w:pPr>
        <w:numPr>
          <w:ilvl w:val="0"/>
          <w:numId w:val="21"/>
        </w:numPr>
        <w:spacing w:line="276" w:lineRule="auto"/>
        <w:jc w:val="left"/>
        <w:rPr>
          <w:rFonts w:cs="Arial"/>
          <w:spacing w:val="0"/>
          <w:sz w:val="24"/>
          <w:szCs w:val="24"/>
        </w:rPr>
      </w:pPr>
      <w:r w:rsidRPr="009D211D">
        <w:rPr>
          <w:rFonts w:cs="Arial"/>
          <w:spacing w:val="0"/>
          <w:sz w:val="24"/>
          <w:szCs w:val="24"/>
        </w:rPr>
        <w:t>Recommendations from learning responses including PSIIs</w:t>
      </w:r>
    </w:p>
    <w:p w:rsidR="001D5233" w:rsidRPr="009D211D" w:rsidRDefault="001D5233" w:rsidP="009D211D">
      <w:pPr>
        <w:numPr>
          <w:ilvl w:val="0"/>
          <w:numId w:val="21"/>
        </w:numPr>
        <w:spacing w:line="276" w:lineRule="auto"/>
        <w:jc w:val="left"/>
        <w:rPr>
          <w:rFonts w:cs="Arial"/>
          <w:spacing w:val="0"/>
          <w:sz w:val="24"/>
          <w:szCs w:val="24"/>
        </w:rPr>
      </w:pPr>
      <w:r w:rsidRPr="009D211D">
        <w:rPr>
          <w:rFonts w:cs="Arial"/>
          <w:spacing w:val="0"/>
          <w:sz w:val="24"/>
          <w:szCs w:val="24"/>
        </w:rPr>
        <w:t>Progress against the PSIRP</w:t>
      </w:r>
    </w:p>
    <w:p w:rsidR="001D5233" w:rsidRPr="009D211D" w:rsidRDefault="001D5233" w:rsidP="009D211D">
      <w:pPr>
        <w:numPr>
          <w:ilvl w:val="0"/>
          <w:numId w:val="21"/>
        </w:numPr>
        <w:spacing w:line="276" w:lineRule="auto"/>
        <w:jc w:val="left"/>
        <w:rPr>
          <w:rFonts w:cs="Arial"/>
          <w:spacing w:val="0"/>
          <w:sz w:val="24"/>
          <w:szCs w:val="24"/>
        </w:rPr>
      </w:pPr>
      <w:r w:rsidRPr="009D211D">
        <w:rPr>
          <w:rFonts w:cs="Arial"/>
          <w:spacing w:val="0"/>
          <w:sz w:val="24"/>
          <w:szCs w:val="24"/>
        </w:rPr>
        <w:t>Progress on Patient Safety Improvement Plans</w:t>
      </w:r>
    </w:p>
    <w:p w:rsidR="001D5233" w:rsidRPr="009D211D" w:rsidRDefault="001D5233" w:rsidP="009D211D">
      <w:pPr>
        <w:numPr>
          <w:ilvl w:val="0"/>
          <w:numId w:val="21"/>
        </w:numPr>
        <w:spacing w:line="276" w:lineRule="auto"/>
        <w:jc w:val="left"/>
        <w:rPr>
          <w:rFonts w:cs="Arial"/>
          <w:spacing w:val="0"/>
          <w:sz w:val="24"/>
          <w:szCs w:val="24"/>
        </w:rPr>
      </w:pPr>
      <w:r w:rsidRPr="009D211D">
        <w:rPr>
          <w:rFonts w:cs="Arial"/>
          <w:spacing w:val="0"/>
          <w:sz w:val="24"/>
          <w:szCs w:val="24"/>
        </w:rPr>
        <w:t>Results of surveys and/or feedback from patients/families/carers on their experiences of the organisation’s response to patient safety incidents</w:t>
      </w:r>
    </w:p>
    <w:p w:rsidR="0046330D" w:rsidRPr="009D211D" w:rsidRDefault="001D5233" w:rsidP="009D211D">
      <w:pPr>
        <w:numPr>
          <w:ilvl w:val="0"/>
          <w:numId w:val="21"/>
        </w:numPr>
        <w:spacing w:line="276" w:lineRule="auto"/>
        <w:jc w:val="left"/>
        <w:rPr>
          <w:rFonts w:cs="Arial"/>
          <w:spacing w:val="0"/>
          <w:sz w:val="24"/>
          <w:szCs w:val="24"/>
        </w:rPr>
      </w:pPr>
      <w:r w:rsidRPr="009D211D">
        <w:rPr>
          <w:rFonts w:cs="Arial"/>
          <w:spacing w:val="0"/>
          <w:sz w:val="24"/>
          <w:szCs w:val="24"/>
        </w:rPr>
        <w:t>Results of surveys and/or feedback from staff on their experiences of the organisation’s response to patient safety incidents</w:t>
      </w:r>
    </w:p>
    <w:p w:rsidR="001D5233" w:rsidRPr="009D211D" w:rsidRDefault="001D5233" w:rsidP="009D211D">
      <w:pPr>
        <w:jc w:val="left"/>
        <w:rPr>
          <w:rFonts w:cs="Arial"/>
          <w:spacing w:val="0"/>
          <w:sz w:val="24"/>
          <w:szCs w:val="24"/>
        </w:rPr>
      </w:pPr>
    </w:p>
    <w:p w:rsidR="0046330D" w:rsidRPr="009D211D" w:rsidRDefault="00F16920" w:rsidP="009D211D">
      <w:pPr>
        <w:jc w:val="left"/>
        <w:rPr>
          <w:rFonts w:cs="Arial"/>
          <w:b/>
          <w:spacing w:val="0"/>
          <w:sz w:val="24"/>
          <w:szCs w:val="24"/>
        </w:rPr>
      </w:pPr>
      <w:r w:rsidRPr="009D211D">
        <w:rPr>
          <w:rFonts w:cs="Arial"/>
          <w:b/>
          <w:spacing w:val="0"/>
          <w:sz w:val="24"/>
          <w:szCs w:val="24"/>
        </w:rPr>
        <w:t xml:space="preserve">10. </w:t>
      </w:r>
      <w:r w:rsidR="00CF5FCB" w:rsidRPr="009D211D">
        <w:rPr>
          <w:rFonts w:cs="Arial"/>
          <w:b/>
          <w:spacing w:val="0"/>
          <w:sz w:val="24"/>
          <w:szCs w:val="24"/>
        </w:rPr>
        <w:t xml:space="preserve">Document tracking </w:t>
      </w:r>
    </w:p>
    <w:p w:rsidR="0046330D" w:rsidRPr="009D211D" w:rsidRDefault="0046330D" w:rsidP="009D211D">
      <w:pPr>
        <w:ind w:left="780"/>
        <w:jc w:val="left"/>
        <w:rPr>
          <w:rFonts w:cs="Arial"/>
          <w:b/>
          <w:spacing w:val="0"/>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1061"/>
        <w:gridCol w:w="1390"/>
        <w:gridCol w:w="1829"/>
        <w:gridCol w:w="5079"/>
      </w:tblGrid>
      <w:tr w:rsidR="0046330D" w:rsidRPr="009D211D" w:rsidTr="00A105A9">
        <w:tc>
          <w:tcPr>
            <w:tcW w:w="1024" w:type="dxa"/>
            <w:shd w:val="clear" w:color="auto" w:fill="auto"/>
          </w:tcPr>
          <w:p w:rsidR="0046330D" w:rsidRPr="009D211D" w:rsidRDefault="0046330D" w:rsidP="009D211D">
            <w:pPr>
              <w:jc w:val="left"/>
              <w:rPr>
                <w:rFonts w:cs="Arial"/>
                <w:b/>
                <w:spacing w:val="0"/>
                <w:sz w:val="24"/>
                <w:szCs w:val="24"/>
              </w:rPr>
            </w:pPr>
            <w:r w:rsidRPr="009D211D">
              <w:rPr>
                <w:rFonts w:cs="Arial"/>
                <w:b/>
                <w:spacing w:val="0"/>
                <w:sz w:val="24"/>
                <w:szCs w:val="24"/>
              </w:rPr>
              <w:t>Version</w:t>
            </w:r>
          </w:p>
        </w:tc>
        <w:tc>
          <w:tcPr>
            <w:tcW w:w="1069" w:type="dxa"/>
            <w:shd w:val="clear" w:color="auto" w:fill="auto"/>
          </w:tcPr>
          <w:p w:rsidR="0046330D" w:rsidRPr="009D211D" w:rsidRDefault="0046330D" w:rsidP="009D211D">
            <w:pPr>
              <w:jc w:val="left"/>
              <w:rPr>
                <w:rFonts w:cs="Arial"/>
                <w:b/>
                <w:spacing w:val="0"/>
                <w:sz w:val="24"/>
                <w:szCs w:val="24"/>
              </w:rPr>
            </w:pPr>
            <w:r w:rsidRPr="009D211D">
              <w:rPr>
                <w:rFonts w:cs="Arial"/>
                <w:b/>
                <w:spacing w:val="0"/>
                <w:sz w:val="24"/>
                <w:szCs w:val="24"/>
              </w:rPr>
              <w:t>Status</w:t>
            </w:r>
          </w:p>
        </w:tc>
        <w:tc>
          <w:tcPr>
            <w:tcW w:w="1276" w:type="dxa"/>
            <w:shd w:val="clear" w:color="auto" w:fill="auto"/>
          </w:tcPr>
          <w:p w:rsidR="0046330D" w:rsidRPr="009D211D" w:rsidRDefault="0046330D" w:rsidP="009D211D">
            <w:pPr>
              <w:jc w:val="left"/>
              <w:rPr>
                <w:rFonts w:cs="Arial"/>
                <w:b/>
                <w:spacing w:val="0"/>
                <w:sz w:val="24"/>
                <w:szCs w:val="24"/>
              </w:rPr>
            </w:pPr>
            <w:r w:rsidRPr="009D211D">
              <w:rPr>
                <w:rFonts w:cs="Arial"/>
                <w:b/>
                <w:spacing w:val="0"/>
                <w:sz w:val="24"/>
                <w:szCs w:val="24"/>
              </w:rPr>
              <w:t>Date</w:t>
            </w:r>
          </w:p>
        </w:tc>
        <w:tc>
          <w:tcPr>
            <w:tcW w:w="1842" w:type="dxa"/>
            <w:shd w:val="clear" w:color="auto" w:fill="auto"/>
          </w:tcPr>
          <w:p w:rsidR="0046330D" w:rsidRPr="009D211D" w:rsidRDefault="0046330D" w:rsidP="009D211D">
            <w:pPr>
              <w:jc w:val="left"/>
              <w:rPr>
                <w:rFonts w:cs="Arial"/>
                <w:b/>
                <w:spacing w:val="0"/>
                <w:sz w:val="24"/>
                <w:szCs w:val="24"/>
              </w:rPr>
            </w:pPr>
            <w:r w:rsidRPr="009D211D">
              <w:rPr>
                <w:rFonts w:cs="Arial"/>
                <w:b/>
                <w:spacing w:val="0"/>
                <w:sz w:val="24"/>
                <w:szCs w:val="24"/>
              </w:rPr>
              <w:t>Issued to/Approved by</w:t>
            </w:r>
          </w:p>
        </w:tc>
        <w:tc>
          <w:tcPr>
            <w:tcW w:w="5245" w:type="dxa"/>
            <w:shd w:val="clear" w:color="auto" w:fill="auto"/>
          </w:tcPr>
          <w:p w:rsidR="0046330D" w:rsidRPr="009D211D" w:rsidRDefault="0046330D" w:rsidP="009D211D">
            <w:pPr>
              <w:jc w:val="left"/>
              <w:rPr>
                <w:rFonts w:cs="Arial"/>
                <w:b/>
                <w:spacing w:val="0"/>
                <w:sz w:val="24"/>
                <w:szCs w:val="24"/>
              </w:rPr>
            </w:pPr>
            <w:r w:rsidRPr="009D211D">
              <w:rPr>
                <w:rFonts w:cs="Arial"/>
                <w:b/>
                <w:spacing w:val="0"/>
                <w:sz w:val="24"/>
                <w:szCs w:val="24"/>
              </w:rPr>
              <w:t>Comments/Summary of Changes</w:t>
            </w:r>
          </w:p>
        </w:tc>
      </w:tr>
      <w:tr w:rsidR="00265ABE" w:rsidRPr="009D211D" w:rsidTr="00A105A9">
        <w:tc>
          <w:tcPr>
            <w:tcW w:w="1024" w:type="dxa"/>
            <w:shd w:val="clear" w:color="auto" w:fill="auto"/>
          </w:tcPr>
          <w:p w:rsidR="00265ABE" w:rsidRPr="009D211D" w:rsidRDefault="00265ABE" w:rsidP="009D211D">
            <w:pPr>
              <w:spacing w:before="60" w:after="60"/>
              <w:jc w:val="left"/>
              <w:rPr>
                <w:rFonts w:cs="Arial"/>
                <w:color w:val="auto"/>
                <w:spacing w:val="0"/>
                <w:sz w:val="24"/>
                <w:szCs w:val="24"/>
              </w:rPr>
            </w:pPr>
            <w:r w:rsidRPr="009D211D">
              <w:rPr>
                <w:rFonts w:cs="Arial"/>
                <w:color w:val="auto"/>
                <w:spacing w:val="0"/>
                <w:sz w:val="24"/>
                <w:szCs w:val="24"/>
              </w:rPr>
              <w:t>0.1</w:t>
            </w:r>
          </w:p>
        </w:tc>
        <w:tc>
          <w:tcPr>
            <w:tcW w:w="1069" w:type="dxa"/>
            <w:shd w:val="clear" w:color="auto" w:fill="auto"/>
          </w:tcPr>
          <w:p w:rsidR="00265ABE" w:rsidRPr="009D211D" w:rsidRDefault="00265ABE" w:rsidP="009D211D">
            <w:pPr>
              <w:spacing w:before="60" w:after="60"/>
              <w:jc w:val="left"/>
              <w:rPr>
                <w:rFonts w:cs="Arial"/>
                <w:color w:val="auto"/>
                <w:spacing w:val="0"/>
                <w:sz w:val="24"/>
                <w:szCs w:val="24"/>
              </w:rPr>
            </w:pPr>
            <w:r w:rsidRPr="009D211D">
              <w:rPr>
                <w:rFonts w:cs="Arial"/>
                <w:color w:val="auto"/>
                <w:spacing w:val="0"/>
                <w:sz w:val="24"/>
                <w:szCs w:val="24"/>
              </w:rPr>
              <w:t>Draft</w:t>
            </w:r>
          </w:p>
        </w:tc>
        <w:tc>
          <w:tcPr>
            <w:tcW w:w="1276" w:type="dxa"/>
            <w:shd w:val="clear" w:color="auto" w:fill="auto"/>
          </w:tcPr>
          <w:p w:rsidR="00265ABE" w:rsidRPr="009D211D" w:rsidRDefault="00CF5FCB" w:rsidP="009D211D">
            <w:pPr>
              <w:spacing w:before="60" w:after="60"/>
              <w:jc w:val="left"/>
              <w:rPr>
                <w:rFonts w:cs="Arial"/>
                <w:color w:val="auto"/>
                <w:spacing w:val="0"/>
                <w:sz w:val="24"/>
                <w:szCs w:val="24"/>
              </w:rPr>
            </w:pPr>
            <w:r w:rsidRPr="009D211D">
              <w:rPr>
                <w:rFonts w:cs="Arial"/>
                <w:color w:val="auto"/>
                <w:spacing w:val="0"/>
                <w:sz w:val="24"/>
                <w:szCs w:val="24"/>
              </w:rPr>
              <w:t>May 2023</w:t>
            </w:r>
          </w:p>
        </w:tc>
        <w:tc>
          <w:tcPr>
            <w:tcW w:w="1842" w:type="dxa"/>
            <w:shd w:val="clear" w:color="auto" w:fill="auto"/>
          </w:tcPr>
          <w:p w:rsidR="00265ABE" w:rsidRPr="009D211D" w:rsidRDefault="00CF5FCB" w:rsidP="009D211D">
            <w:pPr>
              <w:spacing w:before="60" w:after="60"/>
              <w:jc w:val="left"/>
              <w:rPr>
                <w:rFonts w:cs="Arial"/>
                <w:color w:val="auto"/>
                <w:spacing w:val="0"/>
                <w:sz w:val="24"/>
                <w:szCs w:val="24"/>
              </w:rPr>
            </w:pPr>
            <w:r w:rsidRPr="009D211D">
              <w:rPr>
                <w:rFonts w:cs="Arial"/>
                <w:color w:val="auto"/>
                <w:spacing w:val="0"/>
                <w:sz w:val="24"/>
                <w:szCs w:val="24"/>
              </w:rPr>
              <w:t>AD Clinical standards and Patients Safety</w:t>
            </w:r>
          </w:p>
        </w:tc>
        <w:tc>
          <w:tcPr>
            <w:tcW w:w="5245" w:type="dxa"/>
            <w:shd w:val="clear" w:color="auto" w:fill="auto"/>
          </w:tcPr>
          <w:p w:rsidR="00265ABE" w:rsidRPr="009D211D" w:rsidRDefault="00CF5FCB" w:rsidP="009D211D">
            <w:pPr>
              <w:spacing w:before="60" w:after="60"/>
              <w:jc w:val="left"/>
              <w:rPr>
                <w:rFonts w:cs="Arial"/>
                <w:color w:val="auto"/>
                <w:spacing w:val="0"/>
                <w:sz w:val="24"/>
                <w:szCs w:val="24"/>
              </w:rPr>
            </w:pPr>
            <w:r w:rsidRPr="009D211D">
              <w:rPr>
                <w:rFonts w:cs="Arial"/>
                <w:color w:val="auto"/>
                <w:spacing w:val="0"/>
                <w:sz w:val="24"/>
                <w:szCs w:val="24"/>
              </w:rPr>
              <w:t>Reviewed and comments shared</w:t>
            </w:r>
          </w:p>
        </w:tc>
      </w:tr>
      <w:tr w:rsidR="00265ABE" w:rsidRPr="009D211D" w:rsidTr="00A105A9">
        <w:tc>
          <w:tcPr>
            <w:tcW w:w="1024" w:type="dxa"/>
            <w:shd w:val="clear" w:color="auto" w:fill="auto"/>
          </w:tcPr>
          <w:p w:rsidR="00265ABE" w:rsidRPr="009D211D" w:rsidRDefault="00CF5FCB" w:rsidP="009D211D">
            <w:pPr>
              <w:spacing w:before="60" w:after="60"/>
              <w:jc w:val="left"/>
              <w:rPr>
                <w:rFonts w:cs="Arial"/>
                <w:color w:val="auto"/>
                <w:spacing w:val="0"/>
                <w:sz w:val="24"/>
                <w:szCs w:val="24"/>
              </w:rPr>
            </w:pPr>
            <w:r w:rsidRPr="009D211D">
              <w:rPr>
                <w:rFonts w:cs="Arial"/>
                <w:color w:val="auto"/>
                <w:spacing w:val="0"/>
                <w:sz w:val="24"/>
                <w:szCs w:val="24"/>
              </w:rPr>
              <w:t>0.1</w:t>
            </w:r>
          </w:p>
        </w:tc>
        <w:tc>
          <w:tcPr>
            <w:tcW w:w="1069" w:type="dxa"/>
            <w:shd w:val="clear" w:color="auto" w:fill="auto"/>
          </w:tcPr>
          <w:p w:rsidR="00265ABE" w:rsidRPr="009D211D" w:rsidRDefault="00CF5FCB" w:rsidP="009D211D">
            <w:pPr>
              <w:spacing w:before="60" w:after="60"/>
              <w:jc w:val="left"/>
              <w:rPr>
                <w:rFonts w:cs="Arial"/>
                <w:color w:val="auto"/>
                <w:spacing w:val="0"/>
                <w:sz w:val="24"/>
                <w:szCs w:val="24"/>
              </w:rPr>
            </w:pPr>
            <w:r w:rsidRPr="009D211D">
              <w:rPr>
                <w:rFonts w:cs="Arial"/>
                <w:color w:val="auto"/>
                <w:spacing w:val="0"/>
                <w:sz w:val="24"/>
                <w:szCs w:val="24"/>
              </w:rPr>
              <w:t>Draft</w:t>
            </w:r>
          </w:p>
        </w:tc>
        <w:tc>
          <w:tcPr>
            <w:tcW w:w="1276" w:type="dxa"/>
            <w:shd w:val="clear" w:color="auto" w:fill="auto"/>
          </w:tcPr>
          <w:p w:rsidR="00265ABE" w:rsidRPr="009D211D" w:rsidRDefault="00BC5751" w:rsidP="009D211D">
            <w:pPr>
              <w:spacing w:before="60" w:after="60"/>
              <w:jc w:val="left"/>
              <w:rPr>
                <w:rFonts w:cs="Arial"/>
                <w:color w:val="auto"/>
                <w:spacing w:val="0"/>
                <w:sz w:val="24"/>
                <w:szCs w:val="24"/>
              </w:rPr>
            </w:pPr>
            <w:r w:rsidRPr="009D211D">
              <w:rPr>
                <w:rFonts w:cs="Arial"/>
                <w:color w:val="auto"/>
                <w:spacing w:val="0"/>
                <w:sz w:val="24"/>
                <w:szCs w:val="24"/>
              </w:rPr>
              <w:t>July</w:t>
            </w:r>
            <w:r w:rsidR="00CF5FCB" w:rsidRPr="009D211D">
              <w:rPr>
                <w:rFonts w:cs="Arial"/>
                <w:color w:val="auto"/>
                <w:spacing w:val="0"/>
                <w:sz w:val="24"/>
                <w:szCs w:val="24"/>
              </w:rPr>
              <w:t xml:space="preserve"> </w:t>
            </w:r>
            <w:r w:rsidR="00756AB1" w:rsidRPr="009D211D">
              <w:rPr>
                <w:rFonts w:cs="Arial"/>
                <w:color w:val="auto"/>
                <w:spacing w:val="0"/>
                <w:sz w:val="24"/>
                <w:szCs w:val="24"/>
              </w:rPr>
              <w:t>2</w:t>
            </w:r>
            <w:r w:rsidR="00CF5FCB" w:rsidRPr="009D211D">
              <w:rPr>
                <w:rFonts w:cs="Arial"/>
                <w:color w:val="auto"/>
                <w:spacing w:val="0"/>
                <w:sz w:val="24"/>
                <w:szCs w:val="24"/>
              </w:rPr>
              <w:t>023</w:t>
            </w:r>
          </w:p>
        </w:tc>
        <w:tc>
          <w:tcPr>
            <w:tcW w:w="1842" w:type="dxa"/>
            <w:shd w:val="clear" w:color="auto" w:fill="auto"/>
          </w:tcPr>
          <w:p w:rsidR="00265ABE" w:rsidRPr="009D211D" w:rsidRDefault="00265ABE" w:rsidP="009D211D">
            <w:pPr>
              <w:spacing w:before="60" w:after="60"/>
              <w:jc w:val="left"/>
              <w:rPr>
                <w:rFonts w:cs="Arial"/>
                <w:color w:val="auto"/>
                <w:spacing w:val="0"/>
                <w:sz w:val="24"/>
                <w:szCs w:val="24"/>
              </w:rPr>
            </w:pPr>
            <w:r w:rsidRPr="009D211D">
              <w:rPr>
                <w:rFonts w:cs="Arial"/>
                <w:color w:val="auto"/>
                <w:spacing w:val="0"/>
                <w:sz w:val="24"/>
                <w:szCs w:val="24"/>
              </w:rPr>
              <w:t>Quality Committee</w:t>
            </w:r>
          </w:p>
        </w:tc>
        <w:tc>
          <w:tcPr>
            <w:tcW w:w="5245" w:type="dxa"/>
            <w:shd w:val="clear" w:color="auto" w:fill="auto"/>
          </w:tcPr>
          <w:p w:rsidR="00265ABE" w:rsidRPr="009D211D" w:rsidRDefault="00756AB1" w:rsidP="009D211D">
            <w:pPr>
              <w:spacing w:before="60" w:after="60"/>
              <w:jc w:val="left"/>
              <w:rPr>
                <w:rFonts w:cs="Arial"/>
                <w:color w:val="auto"/>
                <w:spacing w:val="0"/>
                <w:sz w:val="24"/>
                <w:szCs w:val="24"/>
              </w:rPr>
            </w:pPr>
            <w:r w:rsidRPr="009D211D">
              <w:rPr>
                <w:rFonts w:cs="Arial"/>
                <w:color w:val="auto"/>
                <w:spacing w:val="0"/>
                <w:sz w:val="24"/>
                <w:szCs w:val="24"/>
              </w:rPr>
              <w:t>Proposed changes in section 3.2 (local responses).</w:t>
            </w:r>
          </w:p>
          <w:p w:rsidR="00560F23" w:rsidRPr="009D211D" w:rsidRDefault="00756AB1" w:rsidP="009D211D">
            <w:pPr>
              <w:spacing w:before="60" w:after="60"/>
              <w:jc w:val="left"/>
              <w:rPr>
                <w:rFonts w:cs="Arial"/>
                <w:color w:val="auto"/>
                <w:spacing w:val="0"/>
                <w:sz w:val="24"/>
                <w:szCs w:val="24"/>
              </w:rPr>
            </w:pPr>
            <w:r w:rsidRPr="009D211D">
              <w:rPr>
                <w:rFonts w:cs="Arial"/>
                <w:color w:val="auto"/>
                <w:spacing w:val="0"/>
                <w:sz w:val="24"/>
                <w:szCs w:val="24"/>
              </w:rPr>
              <w:t xml:space="preserve">Delayed and or missed diagnosis </w:t>
            </w:r>
            <w:r w:rsidR="00560F23" w:rsidRPr="009D211D">
              <w:rPr>
                <w:rFonts w:cs="Arial"/>
                <w:color w:val="auto"/>
                <w:spacing w:val="0"/>
                <w:sz w:val="24"/>
                <w:szCs w:val="24"/>
              </w:rPr>
              <w:t>and include pathology results.</w:t>
            </w:r>
          </w:p>
          <w:p w:rsidR="00560F23" w:rsidRPr="009D211D" w:rsidRDefault="00560F23" w:rsidP="009D211D">
            <w:pPr>
              <w:spacing w:before="60" w:after="60"/>
              <w:jc w:val="left"/>
              <w:rPr>
                <w:rFonts w:cs="Arial"/>
                <w:color w:val="auto"/>
                <w:spacing w:val="0"/>
                <w:sz w:val="24"/>
                <w:szCs w:val="24"/>
              </w:rPr>
            </w:pPr>
            <w:r w:rsidRPr="009D211D">
              <w:rPr>
                <w:rFonts w:cs="Arial"/>
                <w:color w:val="auto"/>
                <w:spacing w:val="0"/>
                <w:sz w:val="24"/>
                <w:szCs w:val="24"/>
              </w:rPr>
              <w:t xml:space="preserve">Head of </w:t>
            </w:r>
            <w:r w:rsidR="00B425E2" w:rsidRPr="009D211D">
              <w:rPr>
                <w:rFonts w:cs="Arial"/>
                <w:color w:val="auto"/>
                <w:spacing w:val="0"/>
                <w:sz w:val="24"/>
                <w:szCs w:val="24"/>
              </w:rPr>
              <w:t>P</w:t>
            </w:r>
            <w:r w:rsidRPr="009D211D">
              <w:rPr>
                <w:rFonts w:cs="Arial"/>
                <w:color w:val="auto"/>
                <w:spacing w:val="0"/>
                <w:sz w:val="24"/>
                <w:szCs w:val="24"/>
              </w:rPr>
              <w:t>atient Safety to review number 9 (Allegation of abuse incidents)</w:t>
            </w:r>
          </w:p>
        </w:tc>
      </w:tr>
      <w:tr w:rsidR="00A105A9" w:rsidRPr="009D211D" w:rsidTr="00A105A9">
        <w:tc>
          <w:tcPr>
            <w:tcW w:w="1024" w:type="dxa"/>
            <w:shd w:val="clear" w:color="auto" w:fill="auto"/>
          </w:tcPr>
          <w:p w:rsidR="00A105A9" w:rsidRPr="009D211D" w:rsidRDefault="00A105A9" w:rsidP="009D211D">
            <w:pPr>
              <w:spacing w:before="60" w:after="60"/>
              <w:jc w:val="left"/>
              <w:rPr>
                <w:rFonts w:cs="Arial"/>
                <w:color w:val="auto"/>
                <w:spacing w:val="0"/>
                <w:sz w:val="24"/>
                <w:szCs w:val="24"/>
              </w:rPr>
            </w:pPr>
            <w:r w:rsidRPr="009D211D">
              <w:rPr>
                <w:rFonts w:cs="Arial"/>
                <w:color w:val="auto"/>
                <w:spacing w:val="0"/>
                <w:sz w:val="24"/>
                <w:szCs w:val="24"/>
              </w:rPr>
              <w:t>0.1</w:t>
            </w:r>
          </w:p>
        </w:tc>
        <w:tc>
          <w:tcPr>
            <w:tcW w:w="1069" w:type="dxa"/>
            <w:shd w:val="clear" w:color="auto" w:fill="auto"/>
          </w:tcPr>
          <w:p w:rsidR="00A105A9" w:rsidRPr="009D211D" w:rsidRDefault="00A105A9" w:rsidP="009D211D">
            <w:pPr>
              <w:spacing w:before="60" w:after="60"/>
              <w:jc w:val="left"/>
              <w:rPr>
                <w:rFonts w:cs="Arial"/>
                <w:color w:val="auto"/>
                <w:spacing w:val="0"/>
                <w:sz w:val="24"/>
                <w:szCs w:val="24"/>
              </w:rPr>
            </w:pPr>
            <w:r w:rsidRPr="009D211D">
              <w:rPr>
                <w:rFonts w:cs="Arial"/>
                <w:color w:val="auto"/>
                <w:spacing w:val="0"/>
                <w:sz w:val="24"/>
                <w:szCs w:val="24"/>
              </w:rPr>
              <w:t>Draft</w:t>
            </w:r>
          </w:p>
        </w:tc>
        <w:tc>
          <w:tcPr>
            <w:tcW w:w="1276" w:type="dxa"/>
            <w:shd w:val="clear" w:color="auto" w:fill="auto"/>
          </w:tcPr>
          <w:p w:rsidR="00A105A9" w:rsidRDefault="00A105A9" w:rsidP="009D211D">
            <w:pPr>
              <w:spacing w:before="60" w:after="60"/>
              <w:jc w:val="left"/>
              <w:rPr>
                <w:rFonts w:cs="Arial"/>
                <w:color w:val="auto"/>
                <w:spacing w:val="0"/>
                <w:sz w:val="24"/>
                <w:szCs w:val="24"/>
              </w:rPr>
            </w:pPr>
            <w:r w:rsidRPr="009D211D">
              <w:rPr>
                <w:rFonts w:cs="Arial"/>
                <w:color w:val="auto"/>
                <w:spacing w:val="0"/>
                <w:sz w:val="24"/>
                <w:szCs w:val="24"/>
              </w:rPr>
              <w:t>August 2023</w:t>
            </w:r>
          </w:p>
          <w:p w:rsidR="00455CCC" w:rsidRPr="009D211D" w:rsidRDefault="00455CCC" w:rsidP="009D211D">
            <w:pPr>
              <w:spacing w:before="60" w:after="60"/>
              <w:jc w:val="left"/>
              <w:rPr>
                <w:rFonts w:cs="Arial"/>
                <w:color w:val="auto"/>
                <w:spacing w:val="0"/>
                <w:sz w:val="24"/>
                <w:szCs w:val="24"/>
              </w:rPr>
            </w:pPr>
            <w:r>
              <w:rPr>
                <w:rFonts w:cs="Arial"/>
                <w:color w:val="auto"/>
                <w:spacing w:val="0"/>
                <w:sz w:val="24"/>
                <w:szCs w:val="24"/>
              </w:rPr>
              <w:t>September</w:t>
            </w:r>
          </w:p>
        </w:tc>
        <w:tc>
          <w:tcPr>
            <w:tcW w:w="1842" w:type="dxa"/>
            <w:shd w:val="clear" w:color="auto" w:fill="auto"/>
          </w:tcPr>
          <w:p w:rsidR="00A105A9" w:rsidRPr="009D211D" w:rsidRDefault="00A105A9" w:rsidP="009D211D">
            <w:pPr>
              <w:spacing w:before="60" w:after="60"/>
              <w:jc w:val="left"/>
              <w:rPr>
                <w:rFonts w:cs="Arial"/>
                <w:color w:val="auto"/>
                <w:spacing w:val="0"/>
                <w:sz w:val="24"/>
                <w:szCs w:val="24"/>
              </w:rPr>
            </w:pPr>
            <w:r w:rsidRPr="009D211D">
              <w:rPr>
                <w:rFonts w:cs="Arial"/>
                <w:color w:val="auto"/>
                <w:spacing w:val="0"/>
                <w:sz w:val="24"/>
                <w:szCs w:val="24"/>
              </w:rPr>
              <w:t xml:space="preserve">ICB </w:t>
            </w:r>
          </w:p>
        </w:tc>
        <w:tc>
          <w:tcPr>
            <w:tcW w:w="5245" w:type="dxa"/>
            <w:shd w:val="clear" w:color="auto" w:fill="auto"/>
          </w:tcPr>
          <w:p w:rsidR="00A105A9" w:rsidRDefault="00A105A9" w:rsidP="009D211D">
            <w:pPr>
              <w:spacing w:before="60" w:after="60"/>
              <w:jc w:val="left"/>
              <w:rPr>
                <w:rFonts w:cs="Arial"/>
                <w:color w:val="auto"/>
                <w:spacing w:val="0"/>
                <w:sz w:val="24"/>
                <w:szCs w:val="24"/>
              </w:rPr>
            </w:pPr>
            <w:r w:rsidRPr="009D211D">
              <w:rPr>
                <w:rFonts w:cs="Arial"/>
                <w:color w:val="auto"/>
                <w:spacing w:val="0"/>
                <w:sz w:val="24"/>
                <w:szCs w:val="24"/>
              </w:rPr>
              <w:t xml:space="preserve">Comments shared Appendix updated to include Joint investigation process, suggested wording reflected. Version 2 to be shared with Chief </w:t>
            </w:r>
            <w:r w:rsidR="00E167A8" w:rsidRPr="00E167A8">
              <w:rPr>
                <w:rFonts w:cs="Arial"/>
                <w:color w:val="auto"/>
                <w:spacing w:val="0"/>
                <w:sz w:val="24"/>
                <w:szCs w:val="24"/>
              </w:rPr>
              <w:t>Nursing Officer</w:t>
            </w:r>
            <w:r w:rsidRPr="009D211D">
              <w:rPr>
                <w:rFonts w:cs="Arial"/>
                <w:color w:val="auto"/>
                <w:spacing w:val="0"/>
                <w:sz w:val="24"/>
                <w:szCs w:val="24"/>
              </w:rPr>
              <w:t>.</w:t>
            </w:r>
          </w:p>
          <w:p w:rsidR="00455CCC" w:rsidRPr="009D211D" w:rsidRDefault="00455CCC" w:rsidP="009D211D">
            <w:pPr>
              <w:spacing w:before="60" w:after="60"/>
              <w:jc w:val="left"/>
              <w:rPr>
                <w:rFonts w:cs="Arial"/>
                <w:color w:val="auto"/>
                <w:spacing w:val="0"/>
                <w:sz w:val="24"/>
                <w:szCs w:val="24"/>
              </w:rPr>
            </w:pPr>
            <w:r>
              <w:rPr>
                <w:rFonts w:cs="Arial"/>
                <w:color w:val="auto"/>
                <w:spacing w:val="0"/>
                <w:sz w:val="24"/>
                <w:szCs w:val="24"/>
              </w:rPr>
              <w:t xml:space="preserve">Redesign of the layout of our local priorities </w:t>
            </w:r>
          </w:p>
        </w:tc>
      </w:tr>
      <w:bookmarkEnd w:id="28"/>
      <w:bookmarkEnd w:id="29"/>
      <w:bookmarkEnd w:id="30"/>
      <w:bookmarkEnd w:id="31"/>
      <w:bookmarkEnd w:id="32"/>
    </w:tbl>
    <w:p w:rsidR="00F16920" w:rsidRPr="009D211D" w:rsidRDefault="00F16920" w:rsidP="009D211D">
      <w:pPr>
        <w:jc w:val="left"/>
        <w:rPr>
          <w:rFonts w:cs="Arial"/>
          <w:spacing w:val="0"/>
          <w:sz w:val="24"/>
          <w:szCs w:val="24"/>
        </w:rPr>
      </w:pPr>
    </w:p>
    <w:p w:rsidR="00F16920" w:rsidRPr="009D211D" w:rsidRDefault="00F16920" w:rsidP="009D211D">
      <w:pPr>
        <w:jc w:val="left"/>
        <w:rPr>
          <w:rFonts w:cs="Arial"/>
          <w:spacing w:val="0"/>
          <w:sz w:val="24"/>
          <w:szCs w:val="24"/>
        </w:rPr>
      </w:pPr>
    </w:p>
    <w:p w:rsidR="00D62393" w:rsidRDefault="00D62393" w:rsidP="009D211D">
      <w:pPr>
        <w:jc w:val="left"/>
        <w:rPr>
          <w:rFonts w:cs="Arial"/>
          <w:b/>
          <w:spacing w:val="0"/>
          <w:sz w:val="24"/>
          <w:szCs w:val="24"/>
        </w:rPr>
      </w:pPr>
    </w:p>
    <w:p w:rsidR="00D62393" w:rsidRDefault="00D62393" w:rsidP="009D211D">
      <w:pPr>
        <w:jc w:val="left"/>
        <w:rPr>
          <w:rFonts w:cs="Arial"/>
          <w:b/>
          <w:spacing w:val="0"/>
          <w:sz w:val="24"/>
          <w:szCs w:val="24"/>
        </w:rPr>
      </w:pPr>
    </w:p>
    <w:p w:rsidR="00D62393" w:rsidRDefault="00D62393" w:rsidP="009D211D">
      <w:pPr>
        <w:jc w:val="left"/>
        <w:rPr>
          <w:rFonts w:cs="Arial"/>
          <w:b/>
          <w:spacing w:val="0"/>
          <w:sz w:val="24"/>
          <w:szCs w:val="24"/>
        </w:rPr>
      </w:pPr>
    </w:p>
    <w:p w:rsidR="00D62393" w:rsidRDefault="00D62393" w:rsidP="009D211D">
      <w:pPr>
        <w:jc w:val="left"/>
        <w:rPr>
          <w:rFonts w:cs="Arial"/>
          <w:b/>
          <w:spacing w:val="0"/>
          <w:sz w:val="24"/>
          <w:szCs w:val="24"/>
        </w:rPr>
      </w:pPr>
    </w:p>
    <w:p w:rsidR="00D62393" w:rsidRDefault="00D62393" w:rsidP="009D211D">
      <w:pPr>
        <w:jc w:val="left"/>
        <w:rPr>
          <w:rFonts w:cs="Arial"/>
          <w:b/>
          <w:spacing w:val="0"/>
          <w:sz w:val="24"/>
          <w:szCs w:val="24"/>
        </w:rPr>
      </w:pPr>
    </w:p>
    <w:p w:rsidR="00D62393" w:rsidRDefault="00D62393" w:rsidP="009D211D">
      <w:pPr>
        <w:jc w:val="left"/>
        <w:rPr>
          <w:rFonts w:cs="Arial"/>
          <w:b/>
          <w:spacing w:val="0"/>
          <w:sz w:val="24"/>
          <w:szCs w:val="24"/>
        </w:rPr>
      </w:pPr>
    </w:p>
    <w:p w:rsidR="00D62393" w:rsidRDefault="00D62393" w:rsidP="009D211D">
      <w:pPr>
        <w:jc w:val="left"/>
        <w:rPr>
          <w:rFonts w:cs="Arial"/>
          <w:b/>
          <w:spacing w:val="0"/>
          <w:sz w:val="24"/>
          <w:szCs w:val="24"/>
        </w:rPr>
      </w:pPr>
    </w:p>
    <w:p w:rsidR="00D62393" w:rsidRDefault="00D62393" w:rsidP="009D211D">
      <w:pPr>
        <w:jc w:val="left"/>
        <w:rPr>
          <w:rFonts w:cs="Arial"/>
          <w:b/>
          <w:spacing w:val="0"/>
          <w:sz w:val="24"/>
          <w:szCs w:val="24"/>
        </w:rPr>
      </w:pPr>
    </w:p>
    <w:p w:rsidR="00D62393" w:rsidRDefault="00D62393" w:rsidP="009D211D">
      <w:pPr>
        <w:jc w:val="left"/>
        <w:rPr>
          <w:rFonts w:cs="Arial"/>
          <w:b/>
          <w:spacing w:val="0"/>
          <w:sz w:val="24"/>
          <w:szCs w:val="24"/>
        </w:rPr>
      </w:pPr>
    </w:p>
    <w:p w:rsidR="002B647B" w:rsidRPr="009D211D" w:rsidRDefault="00390A3A" w:rsidP="009D211D">
      <w:pPr>
        <w:jc w:val="left"/>
        <w:rPr>
          <w:rFonts w:cs="Arial"/>
          <w:b/>
          <w:spacing w:val="0"/>
          <w:sz w:val="24"/>
          <w:szCs w:val="24"/>
        </w:rPr>
      </w:pPr>
      <w:r w:rsidRPr="009D211D">
        <w:rPr>
          <w:noProof/>
          <w:sz w:val="24"/>
          <w:szCs w:val="24"/>
        </w:rPr>
        <w:drawing>
          <wp:anchor distT="0" distB="0" distL="114300" distR="114300" simplePos="0" relativeHeight="251657728" behindDoc="1" locked="0" layoutInCell="1" allowOverlap="1">
            <wp:simplePos x="0" y="0"/>
            <wp:positionH relativeFrom="page">
              <wp:posOffset>4170045</wp:posOffset>
            </wp:positionH>
            <wp:positionV relativeFrom="paragraph">
              <wp:posOffset>45720</wp:posOffset>
            </wp:positionV>
            <wp:extent cx="2922270" cy="497840"/>
            <wp:effectExtent l="0" t="0" r="0" b="0"/>
            <wp:wrapTight wrapText="bothSides">
              <wp:wrapPolygon edited="0">
                <wp:start x="0" y="0"/>
                <wp:lineTo x="0" y="20663"/>
                <wp:lineTo x="21403" y="20663"/>
                <wp:lineTo x="21403" y="0"/>
                <wp:lineTo x="0" y="0"/>
              </wp:wrapPolygon>
            </wp:wrapTight>
            <wp:docPr id="8" name="Picture 7" descr="KCHFT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CHFT logo for A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2270" cy="497840"/>
                    </a:xfrm>
                    <a:prstGeom prst="rect">
                      <a:avLst/>
                    </a:prstGeom>
                    <a:noFill/>
                    <a:ln>
                      <a:noFill/>
                    </a:ln>
                  </pic:spPr>
                </pic:pic>
              </a:graphicData>
            </a:graphic>
            <wp14:sizeRelH relativeFrom="page">
              <wp14:pctWidth>0</wp14:pctWidth>
            </wp14:sizeRelH>
            <wp14:sizeRelV relativeFrom="page">
              <wp14:pctHeight>0</wp14:pctHeight>
            </wp14:sizeRelV>
          </wp:anchor>
        </w:drawing>
      </w:r>
      <w:r w:rsidR="00CF5FCB" w:rsidRPr="009D211D">
        <w:rPr>
          <w:rFonts w:cs="Arial"/>
          <w:b/>
          <w:spacing w:val="0"/>
          <w:sz w:val="24"/>
          <w:szCs w:val="24"/>
        </w:rPr>
        <w:t xml:space="preserve">Appendix </w:t>
      </w:r>
      <w:r w:rsidR="002B647B" w:rsidRPr="009D211D">
        <w:rPr>
          <w:rFonts w:cs="Arial"/>
          <w:b/>
          <w:spacing w:val="0"/>
          <w:sz w:val="24"/>
          <w:szCs w:val="24"/>
        </w:rPr>
        <w:t>1</w:t>
      </w:r>
    </w:p>
    <w:p w:rsidR="002B647B" w:rsidRPr="009D211D" w:rsidRDefault="002B647B" w:rsidP="009D211D">
      <w:pPr>
        <w:tabs>
          <w:tab w:val="left" w:pos="8860"/>
        </w:tabs>
        <w:jc w:val="left"/>
        <w:rPr>
          <w:rFonts w:cs="Arial"/>
          <w:b/>
          <w:spacing w:val="0"/>
          <w:sz w:val="24"/>
          <w:szCs w:val="24"/>
        </w:rPr>
      </w:pPr>
    </w:p>
    <w:p w:rsidR="002B647B" w:rsidRPr="009D211D" w:rsidRDefault="002B647B" w:rsidP="009D211D">
      <w:pPr>
        <w:tabs>
          <w:tab w:val="left" w:pos="8860"/>
        </w:tabs>
        <w:jc w:val="left"/>
        <w:rPr>
          <w:rFonts w:cs="Arial"/>
          <w:b/>
          <w:spacing w:val="0"/>
          <w:sz w:val="24"/>
          <w:szCs w:val="24"/>
        </w:rPr>
      </w:pPr>
    </w:p>
    <w:p w:rsidR="002B647B" w:rsidRPr="009D211D" w:rsidRDefault="002B647B" w:rsidP="009D211D">
      <w:pPr>
        <w:tabs>
          <w:tab w:val="left" w:pos="8860"/>
        </w:tabs>
        <w:jc w:val="left"/>
        <w:rPr>
          <w:rFonts w:cs="Arial"/>
          <w:b/>
          <w:spacing w:val="0"/>
          <w:sz w:val="24"/>
          <w:szCs w:val="24"/>
        </w:rPr>
      </w:pPr>
    </w:p>
    <w:p w:rsidR="002B647B" w:rsidRPr="009D211D" w:rsidRDefault="002B647B" w:rsidP="009D211D">
      <w:pPr>
        <w:jc w:val="left"/>
        <w:rPr>
          <w:rFonts w:cs="Arial"/>
          <w:b/>
          <w:sz w:val="24"/>
          <w:szCs w:val="24"/>
        </w:rPr>
      </w:pPr>
      <w:r w:rsidRPr="009D211D">
        <w:rPr>
          <w:rFonts w:cs="Arial"/>
          <w:b/>
          <w:sz w:val="24"/>
          <w:szCs w:val="24"/>
        </w:rPr>
        <w:t>PSIRF Learning Response and Techniques</w:t>
      </w:r>
    </w:p>
    <w:p w:rsidR="002B647B" w:rsidRPr="009D211D" w:rsidRDefault="002B647B" w:rsidP="009D211D">
      <w:pPr>
        <w:jc w:val="left"/>
        <w:rPr>
          <w:rFonts w:cs="Arial"/>
          <w:sz w:val="24"/>
          <w:szCs w:val="24"/>
        </w:rPr>
      </w:pPr>
    </w:p>
    <w:p w:rsidR="002B647B" w:rsidRPr="009D211D" w:rsidRDefault="002B647B" w:rsidP="009D211D">
      <w:pPr>
        <w:jc w:val="left"/>
        <w:rPr>
          <w:rFonts w:cs="Arial"/>
          <w:sz w:val="24"/>
          <w:szCs w:val="24"/>
        </w:rPr>
      </w:pPr>
      <w:r w:rsidRPr="009D211D">
        <w:rPr>
          <w:rFonts w:cs="Arial"/>
          <w:sz w:val="24"/>
          <w:szCs w:val="24"/>
        </w:rPr>
        <w:t>These will be determined by our Patient Safety Incident Response Plan (PSIRP) and at the Patient Safety Review (PSIR) call.</w:t>
      </w:r>
    </w:p>
    <w:p w:rsidR="002B647B" w:rsidRPr="009D211D" w:rsidRDefault="002B647B" w:rsidP="009D211D">
      <w:pPr>
        <w:jc w:val="left"/>
        <w:rPr>
          <w:rFonts w:cs="Arial"/>
          <w:sz w:val="24"/>
          <w:szCs w:val="24"/>
        </w:rPr>
      </w:pPr>
    </w:p>
    <w:tbl>
      <w:tblPr>
        <w:tblW w:w="0" w:type="auto"/>
        <w:tblBorders>
          <w:top w:val="single" w:sz="8" w:space="0" w:color="ACB9CA"/>
          <w:left w:val="single" w:sz="8" w:space="0" w:color="ACB9CA"/>
          <w:bottom w:val="single" w:sz="8" w:space="0" w:color="ACB9CA"/>
          <w:right w:val="single" w:sz="8" w:space="0" w:color="ACB9CA"/>
          <w:insideH w:val="single" w:sz="8" w:space="0" w:color="ACB9CA"/>
          <w:insideV w:val="single" w:sz="8" w:space="0" w:color="ACB9CA"/>
        </w:tblBorders>
        <w:tblLook w:val="04A0" w:firstRow="1" w:lastRow="0" w:firstColumn="1" w:lastColumn="0" w:noHBand="0" w:noVBand="1"/>
      </w:tblPr>
      <w:tblGrid>
        <w:gridCol w:w="3131"/>
        <w:gridCol w:w="6111"/>
      </w:tblGrid>
      <w:tr w:rsidR="002B647B" w:rsidRPr="009D211D" w:rsidTr="004023EB">
        <w:tc>
          <w:tcPr>
            <w:tcW w:w="3131" w:type="dxa"/>
            <w:shd w:val="clear" w:color="auto" w:fill="8496B0"/>
          </w:tcPr>
          <w:p w:rsidR="002B647B" w:rsidRPr="009D211D" w:rsidRDefault="002B647B" w:rsidP="009D211D">
            <w:pPr>
              <w:jc w:val="left"/>
              <w:rPr>
                <w:rFonts w:cs="Arial"/>
                <w:b/>
                <w:color w:val="FFFFFF"/>
                <w:sz w:val="24"/>
                <w:szCs w:val="24"/>
              </w:rPr>
            </w:pPr>
            <w:r w:rsidRPr="009D211D">
              <w:rPr>
                <w:rFonts w:cs="Arial"/>
                <w:b/>
                <w:color w:val="FFFFFF"/>
                <w:sz w:val="24"/>
                <w:szCs w:val="24"/>
              </w:rPr>
              <w:t>Method</w:t>
            </w:r>
          </w:p>
          <w:p w:rsidR="002B647B" w:rsidRPr="009D211D" w:rsidRDefault="002B647B" w:rsidP="009D211D">
            <w:pPr>
              <w:jc w:val="left"/>
              <w:rPr>
                <w:rFonts w:cs="Arial"/>
                <w:b/>
                <w:color w:val="FFFFFF"/>
                <w:sz w:val="24"/>
                <w:szCs w:val="24"/>
              </w:rPr>
            </w:pPr>
          </w:p>
        </w:tc>
        <w:tc>
          <w:tcPr>
            <w:tcW w:w="6111" w:type="dxa"/>
            <w:shd w:val="clear" w:color="auto" w:fill="8496B0"/>
          </w:tcPr>
          <w:p w:rsidR="002B647B" w:rsidRPr="009D211D" w:rsidRDefault="002B647B" w:rsidP="009D211D">
            <w:pPr>
              <w:jc w:val="left"/>
              <w:rPr>
                <w:rFonts w:cs="Arial"/>
                <w:b/>
                <w:color w:val="FFFFFF"/>
                <w:sz w:val="24"/>
                <w:szCs w:val="24"/>
              </w:rPr>
            </w:pPr>
            <w:r w:rsidRPr="009D211D">
              <w:rPr>
                <w:rFonts w:cs="Arial"/>
                <w:b/>
                <w:color w:val="FFFFFF"/>
                <w:sz w:val="24"/>
                <w:szCs w:val="24"/>
              </w:rPr>
              <w:t>Description</w:t>
            </w:r>
          </w:p>
        </w:tc>
      </w:tr>
      <w:tr w:rsidR="002B647B" w:rsidRPr="009D211D" w:rsidTr="004023EB">
        <w:tc>
          <w:tcPr>
            <w:tcW w:w="3131" w:type="dxa"/>
            <w:shd w:val="clear" w:color="auto" w:fill="D5DCE4"/>
          </w:tcPr>
          <w:p w:rsidR="002B647B" w:rsidRPr="009D211D" w:rsidRDefault="002B647B" w:rsidP="009D211D">
            <w:pPr>
              <w:pStyle w:val="Default"/>
            </w:pPr>
            <w:r w:rsidRPr="009D211D">
              <w:rPr>
                <w:b/>
                <w:bCs/>
              </w:rPr>
              <w:t xml:space="preserve">Patient safety incident investigation (PSII) </w:t>
            </w:r>
          </w:p>
          <w:p w:rsidR="002B647B" w:rsidRPr="009D211D" w:rsidRDefault="002B647B" w:rsidP="009D211D">
            <w:pPr>
              <w:jc w:val="left"/>
              <w:rPr>
                <w:rFonts w:cs="Arial"/>
                <w:sz w:val="24"/>
                <w:szCs w:val="24"/>
              </w:rPr>
            </w:pPr>
          </w:p>
        </w:tc>
        <w:tc>
          <w:tcPr>
            <w:tcW w:w="6111" w:type="dxa"/>
            <w:shd w:val="clear" w:color="auto" w:fill="D5DCE4"/>
          </w:tcPr>
          <w:p w:rsidR="002B647B" w:rsidRPr="009D211D" w:rsidRDefault="002B647B" w:rsidP="009D211D">
            <w:pPr>
              <w:pStyle w:val="Default"/>
            </w:pPr>
            <w:r w:rsidRPr="009D211D">
              <w:t xml:space="preserve">A PSII offers an in-depth review of a single patient safety incident or cluster of incidents to understand what happened and how. </w:t>
            </w:r>
          </w:p>
          <w:p w:rsidR="002B647B" w:rsidRPr="009D211D" w:rsidRDefault="002B647B" w:rsidP="009D211D">
            <w:pPr>
              <w:jc w:val="left"/>
              <w:rPr>
                <w:rFonts w:cs="Arial"/>
                <w:sz w:val="24"/>
                <w:szCs w:val="24"/>
              </w:rPr>
            </w:pPr>
          </w:p>
        </w:tc>
      </w:tr>
      <w:tr w:rsidR="002B647B" w:rsidRPr="009D211D" w:rsidTr="004023EB">
        <w:tc>
          <w:tcPr>
            <w:tcW w:w="3131" w:type="dxa"/>
            <w:shd w:val="clear" w:color="auto" w:fill="auto"/>
          </w:tcPr>
          <w:p w:rsidR="002B647B" w:rsidRPr="009D211D" w:rsidRDefault="002B647B" w:rsidP="009D211D">
            <w:pPr>
              <w:pStyle w:val="Default"/>
            </w:pPr>
            <w:r w:rsidRPr="009D211D">
              <w:rPr>
                <w:b/>
                <w:bCs/>
              </w:rPr>
              <w:t xml:space="preserve">Swarm huddle </w:t>
            </w:r>
          </w:p>
        </w:tc>
        <w:tc>
          <w:tcPr>
            <w:tcW w:w="6111" w:type="dxa"/>
            <w:shd w:val="clear" w:color="auto" w:fill="auto"/>
          </w:tcPr>
          <w:p w:rsidR="002B647B" w:rsidRPr="009D211D" w:rsidRDefault="002B647B" w:rsidP="009D211D">
            <w:pPr>
              <w:pStyle w:val="Default"/>
            </w:pPr>
            <w:r w:rsidRPr="009D211D">
              <w:t xml:space="preserve">The swarm huddle is designed to be initiated as soon as possible after an event and involves an MDT discussion. Staff ’swarm’ to the site to gather information about what happened and why it happened as quickly as possible and (together with insight gathered from other sources wherever possible) decide what needs to be done to reduce the risk of the same thing happening in future. </w:t>
            </w:r>
          </w:p>
          <w:p w:rsidR="002B647B" w:rsidRPr="009D211D" w:rsidRDefault="002B647B" w:rsidP="009D211D">
            <w:pPr>
              <w:pStyle w:val="Default"/>
            </w:pPr>
          </w:p>
        </w:tc>
      </w:tr>
      <w:tr w:rsidR="002B647B" w:rsidRPr="009D211D" w:rsidTr="004023EB">
        <w:tc>
          <w:tcPr>
            <w:tcW w:w="3131" w:type="dxa"/>
            <w:shd w:val="clear" w:color="auto" w:fill="D5DCE4"/>
          </w:tcPr>
          <w:p w:rsidR="002B647B" w:rsidRPr="009D211D" w:rsidRDefault="002B647B" w:rsidP="009D211D">
            <w:pPr>
              <w:pStyle w:val="Default"/>
            </w:pPr>
            <w:r w:rsidRPr="009D211D">
              <w:rPr>
                <w:b/>
                <w:bCs/>
              </w:rPr>
              <w:t xml:space="preserve">After action review (AAR) </w:t>
            </w:r>
          </w:p>
        </w:tc>
        <w:tc>
          <w:tcPr>
            <w:tcW w:w="6111" w:type="dxa"/>
            <w:shd w:val="clear" w:color="auto" w:fill="D5DCE4"/>
          </w:tcPr>
          <w:p w:rsidR="002B647B" w:rsidRPr="009D211D" w:rsidRDefault="002B647B" w:rsidP="009D211D">
            <w:pPr>
              <w:pStyle w:val="Default"/>
            </w:pPr>
            <w:r w:rsidRPr="009D211D">
              <w:t xml:space="preserve">AAR is a structured facilitated discussion of an event, the outcome of which gives individuals involved in the event understanding of why the outcome differed from that expected and the learning to assist improvement. AAR generates insight from the various perspectives of the MDT and can be used to discuss both positive outcomes as well as incidents. </w:t>
            </w:r>
          </w:p>
          <w:p w:rsidR="002B647B" w:rsidRPr="009D211D" w:rsidRDefault="002B647B" w:rsidP="009D211D">
            <w:pPr>
              <w:pStyle w:val="Default"/>
            </w:pPr>
            <w:r w:rsidRPr="009D211D">
              <w:t xml:space="preserve">It is based around four questions: </w:t>
            </w:r>
          </w:p>
          <w:p w:rsidR="002B647B" w:rsidRPr="009D211D" w:rsidRDefault="002B647B" w:rsidP="009D211D">
            <w:pPr>
              <w:pStyle w:val="Default"/>
              <w:ind w:left="720"/>
            </w:pPr>
            <w:r w:rsidRPr="009D211D">
              <w:t xml:space="preserve">What was the expected outcome/expected to happen? </w:t>
            </w:r>
          </w:p>
          <w:p w:rsidR="002B647B" w:rsidRPr="009D211D" w:rsidRDefault="002B647B" w:rsidP="009D211D">
            <w:pPr>
              <w:pStyle w:val="Default"/>
              <w:ind w:left="720"/>
            </w:pPr>
            <w:r w:rsidRPr="009D211D">
              <w:t xml:space="preserve">What was the actual outcome/what actually happened? </w:t>
            </w:r>
          </w:p>
          <w:p w:rsidR="002B647B" w:rsidRPr="009D211D" w:rsidRDefault="002B647B" w:rsidP="009D211D">
            <w:pPr>
              <w:pStyle w:val="Default"/>
              <w:ind w:left="720"/>
            </w:pPr>
            <w:r w:rsidRPr="009D211D">
              <w:t xml:space="preserve">What was the difference between the expected outcome and the event? </w:t>
            </w:r>
          </w:p>
          <w:p w:rsidR="002B647B" w:rsidRPr="009D211D" w:rsidRDefault="002B647B" w:rsidP="009D211D">
            <w:pPr>
              <w:pStyle w:val="Default"/>
              <w:ind w:left="720"/>
            </w:pPr>
            <w:r w:rsidRPr="009D211D">
              <w:t xml:space="preserve">What is the learning? </w:t>
            </w:r>
          </w:p>
          <w:p w:rsidR="002B647B" w:rsidRPr="009D211D" w:rsidRDefault="002B647B" w:rsidP="009D211D">
            <w:pPr>
              <w:pStyle w:val="Default"/>
              <w:ind w:left="720"/>
            </w:pPr>
          </w:p>
        </w:tc>
      </w:tr>
      <w:tr w:rsidR="002B647B" w:rsidRPr="009D211D" w:rsidTr="004023EB">
        <w:tc>
          <w:tcPr>
            <w:tcW w:w="3131" w:type="dxa"/>
            <w:shd w:val="clear" w:color="auto" w:fill="auto"/>
          </w:tcPr>
          <w:p w:rsidR="002B647B" w:rsidRPr="009D211D" w:rsidRDefault="002B647B" w:rsidP="009D211D">
            <w:pPr>
              <w:jc w:val="left"/>
              <w:rPr>
                <w:rFonts w:cs="Arial"/>
                <w:b/>
                <w:sz w:val="24"/>
                <w:szCs w:val="24"/>
              </w:rPr>
            </w:pPr>
            <w:r w:rsidRPr="009D211D">
              <w:rPr>
                <w:rFonts w:cs="Arial"/>
                <w:b/>
                <w:sz w:val="24"/>
                <w:szCs w:val="24"/>
              </w:rPr>
              <w:t>Hot debrief</w:t>
            </w:r>
          </w:p>
        </w:tc>
        <w:tc>
          <w:tcPr>
            <w:tcW w:w="6111" w:type="dxa"/>
            <w:shd w:val="clear" w:color="auto" w:fill="auto"/>
          </w:tcPr>
          <w:p w:rsidR="002B647B" w:rsidRPr="009D211D" w:rsidRDefault="002B647B" w:rsidP="009D211D">
            <w:pPr>
              <w:jc w:val="left"/>
              <w:rPr>
                <w:rFonts w:cs="Arial"/>
                <w:sz w:val="24"/>
                <w:szCs w:val="24"/>
              </w:rPr>
            </w:pPr>
            <w:r w:rsidRPr="009D211D">
              <w:rPr>
                <w:rFonts w:cs="Arial"/>
                <w:sz w:val="24"/>
                <w:szCs w:val="24"/>
              </w:rPr>
              <w:t>Hot Debrief as a structured team-based discussion which may be initiated following a significant event.</w:t>
            </w:r>
          </w:p>
          <w:p w:rsidR="002B647B" w:rsidRPr="009D211D" w:rsidRDefault="002B647B" w:rsidP="009D211D">
            <w:pPr>
              <w:jc w:val="left"/>
              <w:rPr>
                <w:rFonts w:cs="Arial"/>
                <w:sz w:val="24"/>
                <w:szCs w:val="24"/>
              </w:rPr>
            </w:pPr>
          </w:p>
        </w:tc>
      </w:tr>
      <w:tr w:rsidR="002B647B" w:rsidRPr="009D211D" w:rsidTr="004023EB">
        <w:tc>
          <w:tcPr>
            <w:tcW w:w="3131" w:type="dxa"/>
            <w:shd w:val="clear" w:color="auto" w:fill="D5DCE4"/>
          </w:tcPr>
          <w:p w:rsidR="002B647B" w:rsidRPr="009D211D" w:rsidRDefault="002B647B" w:rsidP="009D211D">
            <w:pPr>
              <w:jc w:val="left"/>
              <w:rPr>
                <w:rFonts w:cs="Arial"/>
                <w:b/>
                <w:sz w:val="24"/>
                <w:szCs w:val="24"/>
              </w:rPr>
            </w:pPr>
            <w:r w:rsidRPr="009D211D">
              <w:rPr>
                <w:rFonts w:cs="Arial"/>
                <w:b/>
                <w:sz w:val="24"/>
                <w:szCs w:val="24"/>
              </w:rPr>
              <w:t>Structured judgement review (SJR)</w:t>
            </w:r>
          </w:p>
        </w:tc>
        <w:tc>
          <w:tcPr>
            <w:tcW w:w="6111" w:type="dxa"/>
            <w:shd w:val="clear" w:color="auto" w:fill="D5DCE4"/>
          </w:tcPr>
          <w:p w:rsidR="002B647B" w:rsidRPr="009D211D" w:rsidRDefault="002B647B" w:rsidP="009D211D">
            <w:pPr>
              <w:jc w:val="left"/>
              <w:rPr>
                <w:rFonts w:cs="Arial"/>
                <w:sz w:val="24"/>
                <w:szCs w:val="24"/>
              </w:rPr>
            </w:pPr>
            <w:r w:rsidRPr="009D211D">
              <w:rPr>
                <w:rFonts w:cs="Arial"/>
                <w:sz w:val="24"/>
                <w:szCs w:val="24"/>
              </w:rPr>
              <w:t>A Structured judgement review looks at a patient’s care and treatment, to provide information about what can be learned when care goes well, and to identify gaps, problems or difficulties in the care received by the patient.</w:t>
            </w:r>
          </w:p>
          <w:p w:rsidR="002B647B" w:rsidRPr="009D211D" w:rsidRDefault="002B647B" w:rsidP="009D211D">
            <w:pPr>
              <w:jc w:val="left"/>
              <w:rPr>
                <w:rFonts w:cs="Arial"/>
                <w:sz w:val="24"/>
                <w:szCs w:val="24"/>
              </w:rPr>
            </w:pPr>
          </w:p>
        </w:tc>
      </w:tr>
      <w:tr w:rsidR="002B647B" w:rsidRPr="009D211D" w:rsidTr="004023EB">
        <w:tc>
          <w:tcPr>
            <w:tcW w:w="3131" w:type="dxa"/>
            <w:shd w:val="clear" w:color="auto" w:fill="auto"/>
          </w:tcPr>
          <w:p w:rsidR="002B647B" w:rsidRPr="009D211D" w:rsidRDefault="002B647B" w:rsidP="009D211D">
            <w:pPr>
              <w:jc w:val="left"/>
              <w:rPr>
                <w:rFonts w:cs="Arial"/>
                <w:sz w:val="24"/>
                <w:szCs w:val="24"/>
              </w:rPr>
            </w:pPr>
            <w:r w:rsidRPr="009D211D">
              <w:rPr>
                <w:rFonts w:cs="Arial"/>
                <w:sz w:val="24"/>
                <w:szCs w:val="24"/>
              </w:rPr>
              <w:t>Thematic or Cluster review</w:t>
            </w:r>
          </w:p>
        </w:tc>
        <w:tc>
          <w:tcPr>
            <w:tcW w:w="6111" w:type="dxa"/>
            <w:shd w:val="clear" w:color="auto" w:fill="auto"/>
          </w:tcPr>
          <w:p w:rsidR="002B647B" w:rsidRPr="009D211D" w:rsidRDefault="002B647B" w:rsidP="009D211D">
            <w:pPr>
              <w:jc w:val="left"/>
              <w:rPr>
                <w:rFonts w:cs="Arial"/>
                <w:sz w:val="24"/>
                <w:szCs w:val="24"/>
              </w:rPr>
            </w:pPr>
            <w:r w:rsidRPr="009D211D">
              <w:rPr>
                <w:rFonts w:cs="Arial"/>
                <w:sz w:val="24"/>
                <w:szCs w:val="24"/>
              </w:rPr>
              <w:t>A Thematic or Cluster review can identify patterns in data to help answer questions, show links or identify issues</w:t>
            </w:r>
          </w:p>
        </w:tc>
      </w:tr>
    </w:tbl>
    <w:p w:rsidR="003A609E" w:rsidRPr="009D211D" w:rsidRDefault="003A609E" w:rsidP="009D211D">
      <w:pPr>
        <w:tabs>
          <w:tab w:val="left" w:pos="8860"/>
        </w:tabs>
        <w:jc w:val="left"/>
        <w:rPr>
          <w:rFonts w:cs="Arial"/>
          <w:b/>
          <w:spacing w:val="0"/>
          <w:sz w:val="24"/>
          <w:szCs w:val="24"/>
        </w:rPr>
        <w:sectPr w:rsidR="003A609E" w:rsidRPr="009D211D" w:rsidSect="00B26EB1">
          <w:headerReference w:type="default" r:id="rId17"/>
          <w:footerReference w:type="default" r:id="rId18"/>
          <w:headerReference w:type="first" r:id="rId19"/>
          <w:footerReference w:type="first" r:id="rId20"/>
          <w:pgSz w:w="11906" w:h="16838" w:code="9"/>
          <w:pgMar w:top="819" w:right="1134" w:bottom="993" w:left="1134" w:header="568" w:footer="510" w:gutter="0"/>
          <w:cols w:space="708"/>
          <w:titlePg/>
          <w:docGrid w:linePitch="360"/>
        </w:sectPr>
      </w:pPr>
    </w:p>
    <w:p w:rsidR="002B647B" w:rsidRPr="009D211D" w:rsidRDefault="002B647B" w:rsidP="009D211D">
      <w:pPr>
        <w:tabs>
          <w:tab w:val="left" w:pos="8860"/>
        </w:tabs>
        <w:jc w:val="left"/>
        <w:rPr>
          <w:rFonts w:cs="Arial"/>
          <w:b/>
          <w:spacing w:val="0"/>
          <w:sz w:val="24"/>
          <w:szCs w:val="24"/>
        </w:rPr>
      </w:pPr>
    </w:p>
    <w:p w:rsidR="00F967BC" w:rsidRPr="009D211D" w:rsidRDefault="00F967BC" w:rsidP="009D211D">
      <w:pPr>
        <w:tabs>
          <w:tab w:val="left" w:pos="8860"/>
        </w:tabs>
        <w:jc w:val="left"/>
        <w:rPr>
          <w:rFonts w:cs="Arial"/>
          <w:b/>
          <w:spacing w:val="0"/>
          <w:sz w:val="24"/>
          <w:szCs w:val="24"/>
        </w:rPr>
      </w:pPr>
    </w:p>
    <w:p w:rsidR="00F967BC" w:rsidRPr="009D211D" w:rsidRDefault="00F967BC" w:rsidP="009D211D">
      <w:pPr>
        <w:tabs>
          <w:tab w:val="left" w:pos="8860"/>
        </w:tabs>
        <w:jc w:val="left"/>
        <w:rPr>
          <w:rFonts w:cs="Arial"/>
          <w:b/>
          <w:spacing w:val="0"/>
          <w:sz w:val="24"/>
          <w:szCs w:val="24"/>
        </w:rPr>
      </w:pPr>
    </w:p>
    <w:p w:rsidR="003A609E" w:rsidRPr="009D211D" w:rsidRDefault="00F967BC" w:rsidP="009D211D">
      <w:pPr>
        <w:tabs>
          <w:tab w:val="left" w:pos="8860"/>
        </w:tabs>
        <w:jc w:val="left"/>
        <w:rPr>
          <w:rFonts w:cs="Arial"/>
          <w:b/>
          <w:spacing w:val="0"/>
          <w:sz w:val="24"/>
          <w:szCs w:val="24"/>
        </w:rPr>
      </w:pPr>
      <w:r w:rsidRPr="009D211D">
        <w:rPr>
          <w:rFonts w:cs="Arial"/>
          <w:b/>
          <w:spacing w:val="0"/>
          <w:sz w:val="24"/>
          <w:szCs w:val="24"/>
        </w:rPr>
        <w:t>Appendix 2</w:t>
      </w:r>
    </w:p>
    <w:p w:rsidR="002B647B" w:rsidRPr="009D211D" w:rsidRDefault="00390A3A" w:rsidP="009D211D">
      <w:pPr>
        <w:tabs>
          <w:tab w:val="left" w:pos="8860"/>
        </w:tabs>
        <w:jc w:val="left"/>
        <w:rPr>
          <w:rFonts w:cs="Arial"/>
          <w:b/>
          <w:spacing w:val="0"/>
          <w:sz w:val="24"/>
          <w:szCs w:val="24"/>
        </w:rPr>
      </w:pPr>
      <w:r w:rsidRPr="009D211D">
        <w:rPr>
          <w:rFonts w:cs="Arial"/>
          <w:b/>
          <w:noProof/>
          <w:spacing w:val="0"/>
          <w:sz w:val="24"/>
          <w:szCs w:val="24"/>
        </w:rPr>
        <w:drawing>
          <wp:inline distT="0" distB="0" distL="0" distR="0">
            <wp:extent cx="3505200" cy="521017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05200" cy="5210175"/>
                    </a:xfrm>
                    <a:prstGeom prst="rect">
                      <a:avLst/>
                    </a:prstGeom>
                    <a:noFill/>
                    <a:ln>
                      <a:noFill/>
                    </a:ln>
                  </pic:spPr>
                </pic:pic>
              </a:graphicData>
            </a:graphic>
          </wp:inline>
        </w:drawing>
      </w:r>
      <w:r w:rsidRPr="009D211D">
        <w:rPr>
          <w:rFonts w:cs="Arial"/>
          <w:b/>
          <w:noProof/>
          <w:spacing w:val="0"/>
          <w:sz w:val="24"/>
          <w:szCs w:val="24"/>
        </w:rPr>
        <w:drawing>
          <wp:inline distT="0" distB="0" distL="0" distR="0">
            <wp:extent cx="3981450" cy="5210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81450" cy="5210175"/>
                    </a:xfrm>
                    <a:prstGeom prst="rect">
                      <a:avLst/>
                    </a:prstGeom>
                    <a:noFill/>
                    <a:ln>
                      <a:noFill/>
                    </a:ln>
                  </pic:spPr>
                </pic:pic>
              </a:graphicData>
            </a:graphic>
          </wp:inline>
        </w:drawing>
      </w:r>
      <w:r w:rsidR="003A609E" w:rsidRPr="009D211D">
        <w:rPr>
          <w:rFonts w:cs="Arial"/>
          <w:b/>
          <w:spacing w:val="0"/>
          <w:sz w:val="24"/>
          <w:szCs w:val="24"/>
        </w:rPr>
        <w:br w:type="page"/>
      </w:r>
    </w:p>
    <w:p w:rsidR="00E31A15" w:rsidRPr="009D211D" w:rsidRDefault="00390A3A" w:rsidP="009D211D">
      <w:pPr>
        <w:tabs>
          <w:tab w:val="left" w:pos="8860"/>
        </w:tabs>
        <w:jc w:val="left"/>
        <w:rPr>
          <w:rFonts w:cs="Arial"/>
          <w:b/>
          <w:spacing w:val="0"/>
          <w:sz w:val="24"/>
          <w:szCs w:val="24"/>
        </w:rPr>
      </w:pPr>
      <w:r w:rsidRPr="009D211D">
        <w:rPr>
          <w:rFonts w:cs="Arial"/>
          <w:b/>
          <w:noProof/>
          <w:spacing w:val="0"/>
          <w:sz w:val="24"/>
          <w:szCs w:val="24"/>
        </w:rPr>
        <w:drawing>
          <wp:inline distT="0" distB="0" distL="0" distR="0">
            <wp:extent cx="4752975" cy="33813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52975" cy="3381375"/>
                    </a:xfrm>
                    <a:prstGeom prst="rect">
                      <a:avLst/>
                    </a:prstGeom>
                    <a:noFill/>
                    <a:ln>
                      <a:noFill/>
                    </a:ln>
                  </pic:spPr>
                </pic:pic>
              </a:graphicData>
            </a:graphic>
          </wp:inline>
        </w:drawing>
      </w:r>
      <w:r w:rsidR="002B647B" w:rsidRPr="009D211D">
        <w:rPr>
          <w:rFonts w:cs="Arial"/>
          <w:b/>
          <w:spacing w:val="0"/>
          <w:sz w:val="24"/>
          <w:szCs w:val="24"/>
        </w:rPr>
        <w:tab/>
      </w:r>
      <w:r w:rsidRPr="009D211D">
        <w:rPr>
          <w:rFonts w:cs="Arial"/>
          <w:b/>
          <w:noProof/>
          <w:spacing w:val="0"/>
          <w:sz w:val="24"/>
          <w:szCs w:val="24"/>
        </w:rPr>
        <w:drawing>
          <wp:inline distT="0" distB="0" distL="0" distR="0">
            <wp:extent cx="3895725" cy="34766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95725" cy="3476625"/>
                    </a:xfrm>
                    <a:prstGeom prst="rect">
                      <a:avLst/>
                    </a:prstGeom>
                    <a:noFill/>
                    <a:ln>
                      <a:noFill/>
                    </a:ln>
                  </pic:spPr>
                </pic:pic>
              </a:graphicData>
            </a:graphic>
          </wp:inline>
        </w:drawing>
      </w:r>
    </w:p>
    <w:p w:rsidR="00E31A15" w:rsidRPr="009D211D" w:rsidRDefault="00E31A15" w:rsidP="009D211D">
      <w:pPr>
        <w:jc w:val="left"/>
        <w:rPr>
          <w:rFonts w:cs="Arial"/>
          <w:sz w:val="24"/>
          <w:szCs w:val="24"/>
        </w:rPr>
      </w:pPr>
    </w:p>
    <w:p w:rsidR="00E31A15" w:rsidRPr="009D211D" w:rsidRDefault="00E31A15" w:rsidP="009D211D">
      <w:pPr>
        <w:jc w:val="left"/>
        <w:rPr>
          <w:rFonts w:cs="Arial"/>
          <w:sz w:val="24"/>
          <w:szCs w:val="24"/>
        </w:rPr>
      </w:pPr>
    </w:p>
    <w:p w:rsidR="00E31A15" w:rsidRPr="009D211D" w:rsidRDefault="00E31A15" w:rsidP="009D211D">
      <w:pPr>
        <w:jc w:val="left"/>
        <w:rPr>
          <w:rFonts w:cs="Arial"/>
          <w:sz w:val="24"/>
          <w:szCs w:val="24"/>
        </w:rPr>
      </w:pPr>
    </w:p>
    <w:p w:rsidR="00E31A15" w:rsidRPr="009D211D" w:rsidRDefault="00E31A15" w:rsidP="009D211D">
      <w:pPr>
        <w:jc w:val="left"/>
        <w:rPr>
          <w:rFonts w:cs="Arial"/>
          <w:sz w:val="24"/>
          <w:szCs w:val="24"/>
        </w:rPr>
      </w:pPr>
    </w:p>
    <w:p w:rsidR="00E31A15" w:rsidRPr="009D211D" w:rsidRDefault="00E31A15" w:rsidP="009D211D">
      <w:pPr>
        <w:jc w:val="left"/>
        <w:rPr>
          <w:rFonts w:cs="Arial"/>
          <w:sz w:val="24"/>
          <w:szCs w:val="24"/>
        </w:rPr>
      </w:pPr>
    </w:p>
    <w:p w:rsidR="00E31A15" w:rsidRPr="009D211D" w:rsidRDefault="00E31A15" w:rsidP="009D211D">
      <w:pPr>
        <w:jc w:val="left"/>
        <w:rPr>
          <w:rFonts w:cs="Arial"/>
          <w:sz w:val="24"/>
          <w:szCs w:val="24"/>
        </w:rPr>
      </w:pPr>
    </w:p>
    <w:p w:rsidR="00E31A15" w:rsidRPr="009D211D" w:rsidRDefault="00E31A15" w:rsidP="009D211D">
      <w:pPr>
        <w:jc w:val="left"/>
        <w:rPr>
          <w:rFonts w:cs="Arial"/>
          <w:sz w:val="24"/>
          <w:szCs w:val="24"/>
        </w:rPr>
      </w:pPr>
    </w:p>
    <w:p w:rsidR="00E31A15" w:rsidRPr="009D211D" w:rsidRDefault="00E31A15" w:rsidP="009D211D">
      <w:pPr>
        <w:jc w:val="left"/>
        <w:rPr>
          <w:rFonts w:cs="Arial"/>
          <w:sz w:val="24"/>
          <w:szCs w:val="24"/>
        </w:rPr>
      </w:pPr>
    </w:p>
    <w:p w:rsidR="00E31A15" w:rsidRPr="009D211D" w:rsidRDefault="00E31A15" w:rsidP="009D211D">
      <w:pPr>
        <w:jc w:val="left"/>
        <w:rPr>
          <w:rFonts w:cs="Arial"/>
          <w:sz w:val="24"/>
          <w:szCs w:val="24"/>
        </w:rPr>
      </w:pPr>
    </w:p>
    <w:p w:rsidR="00E31A15" w:rsidRPr="009D211D" w:rsidRDefault="00E31A15" w:rsidP="009D211D">
      <w:pPr>
        <w:jc w:val="left"/>
        <w:rPr>
          <w:rFonts w:cs="Arial"/>
          <w:sz w:val="24"/>
          <w:szCs w:val="24"/>
        </w:rPr>
      </w:pPr>
    </w:p>
    <w:p w:rsidR="00E31A15" w:rsidRPr="009D211D" w:rsidRDefault="00E31A15" w:rsidP="009D211D">
      <w:pPr>
        <w:jc w:val="left"/>
        <w:rPr>
          <w:rFonts w:cs="Arial"/>
          <w:sz w:val="24"/>
          <w:szCs w:val="24"/>
        </w:rPr>
      </w:pPr>
    </w:p>
    <w:p w:rsidR="00E31A15" w:rsidRPr="009D211D" w:rsidRDefault="00E31A15" w:rsidP="009D211D">
      <w:pPr>
        <w:jc w:val="left"/>
        <w:rPr>
          <w:rFonts w:cs="Arial"/>
          <w:sz w:val="24"/>
          <w:szCs w:val="24"/>
        </w:rPr>
      </w:pPr>
    </w:p>
    <w:p w:rsidR="002B647B" w:rsidRPr="009D211D" w:rsidRDefault="00E31A15" w:rsidP="009D211D">
      <w:pPr>
        <w:tabs>
          <w:tab w:val="left" w:pos="1510"/>
        </w:tabs>
        <w:jc w:val="left"/>
        <w:rPr>
          <w:rFonts w:cs="Arial"/>
          <w:sz w:val="24"/>
          <w:szCs w:val="24"/>
        </w:rPr>
      </w:pPr>
      <w:r w:rsidRPr="009D211D">
        <w:rPr>
          <w:rFonts w:cs="Arial"/>
          <w:sz w:val="24"/>
          <w:szCs w:val="24"/>
        </w:rPr>
        <w:tab/>
      </w:r>
    </w:p>
    <w:p w:rsidR="00E31A15" w:rsidRPr="009D211D" w:rsidRDefault="00E31A15" w:rsidP="009D211D">
      <w:pPr>
        <w:tabs>
          <w:tab w:val="left" w:pos="1510"/>
        </w:tabs>
        <w:jc w:val="left"/>
        <w:rPr>
          <w:rFonts w:cs="Arial"/>
          <w:sz w:val="24"/>
          <w:szCs w:val="24"/>
        </w:rPr>
        <w:sectPr w:rsidR="00E31A15" w:rsidRPr="009D211D" w:rsidSect="003A609E">
          <w:pgSz w:w="16838" w:h="11906" w:orient="landscape" w:code="9"/>
          <w:pgMar w:top="1134" w:right="819" w:bottom="1134" w:left="993" w:header="568" w:footer="510" w:gutter="0"/>
          <w:cols w:space="708"/>
          <w:titlePg/>
          <w:docGrid w:linePitch="360"/>
        </w:sectPr>
      </w:pPr>
    </w:p>
    <w:p w:rsidR="00E31A15" w:rsidRPr="009D211D" w:rsidRDefault="00E31A15" w:rsidP="009D211D">
      <w:pPr>
        <w:tabs>
          <w:tab w:val="left" w:pos="1510"/>
        </w:tabs>
        <w:jc w:val="left"/>
        <w:rPr>
          <w:rFonts w:cs="Arial"/>
          <w:sz w:val="24"/>
          <w:szCs w:val="24"/>
        </w:rPr>
      </w:pPr>
    </w:p>
    <w:p w:rsidR="00E31A15" w:rsidRPr="009D211D" w:rsidRDefault="00E31A15" w:rsidP="009D211D">
      <w:pPr>
        <w:tabs>
          <w:tab w:val="left" w:pos="1510"/>
        </w:tabs>
        <w:jc w:val="left"/>
        <w:rPr>
          <w:rFonts w:cs="Arial"/>
          <w:sz w:val="24"/>
          <w:szCs w:val="24"/>
        </w:rPr>
      </w:pPr>
    </w:p>
    <w:p w:rsidR="00E31A15" w:rsidRPr="009D211D" w:rsidRDefault="00E31A15" w:rsidP="009D211D">
      <w:pPr>
        <w:tabs>
          <w:tab w:val="left" w:pos="1510"/>
        </w:tabs>
        <w:jc w:val="left"/>
        <w:rPr>
          <w:rFonts w:cs="Arial"/>
          <w:sz w:val="24"/>
          <w:szCs w:val="24"/>
        </w:rPr>
      </w:pPr>
    </w:p>
    <w:p w:rsidR="00E31A15" w:rsidRPr="009D211D" w:rsidRDefault="00D64AB3" w:rsidP="009D211D">
      <w:pPr>
        <w:tabs>
          <w:tab w:val="left" w:pos="1510"/>
        </w:tabs>
        <w:jc w:val="left"/>
        <w:rPr>
          <w:rFonts w:cs="Arial"/>
          <w:b/>
          <w:sz w:val="24"/>
          <w:szCs w:val="24"/>
        </w:rPr>
      </w:pPr>
      <w:r w:rsidRPr="009D211D">
        <w:rPr>
          <w:rFonts w:cs="Arial"/>
          <w:b/>
          <w:sz w:val="24"/>
          <w:szCs w:val="24"/>
        </w:rPr>
        <w:t>Appendix 3</w:t>
      </w:r>
    </w:p>
    <w:p w:rsidR="00D64AB3" w:rsidRPr="009D211D" w:rsidRDefault="00D64AB3" w:rsidP="009D211D">
      <w:pPr>
        <w:tabs>
          <w:tab w:val="left" w:pos="1510"/>
        </w:tabs>
        <w:jc w:val="left"/>
        <w:rPr>
          <w:rFonts w:cs="Arial"/>
          <w:sz w:val="24"/>
          <w:szCs w:val="24"/>
        </w:rPr>
      </w:pPr>
    </w:p>
    <w:p w:rsidR="00D64AB3" w:rsidRPr="009D211D" w:rsidRDefault="00390A3A" w:rsidP="009D211D">
      <w:pPr>
        <w:tabs>
          <w:tab w:val="left" w:pos="1510"/>
        </w:tabs>
        <w:jc w:val="left"/>
        <w:rPr>
          <w:rFonts w:cs="Arial"/>
          <w:sz w:val="24"/>
          <w:szCs w:val="24"/>
        </w:rPr>
      </w:pPr>
      <w:r w:rsidRPr="009D211D">
        <w:rPr>
          <w:rFonts w:cs="Arial"/>
          <w:noProof/>
          <w:sz w:val="24"/>
          <w:szCs w:val="24"/>
        </w:rPr>
        <w:drawing>
          <wp:inline distT="0" distB="0" distL="0" distR="0">
            <wp:extent cx="5305425" cy="40576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05425" cy="4057650"/>
                    </a:xfrm>
                    <a:prstGeom prst="rect">
                      <a:avLst/>
                    </a:prstGeom>
                    <a:noFill/>
                    <a:ln>
                      <a:noFill/>
                    </a:ln>
                  </pic:spPr>
                </pic:pic>
              </a:graphicData>
            </a:graphic>
          </wp:inline>
        </w:drawing>
      </w:r>
    </w:p>
    <w:p w:rsidR="00D64AB3" w:rsidRPr="009D211D" w:rsidRDefault="00D64AB3" w:rsidP="009D211D">
      <w:pPr>
        <w:tabs>
          <w:tab w:val="left" w:pos="1510"/>
        </w:tabs>
        <w:jc w:val="left"/>
        <w:rPr>
          <w:rFonts w:cs="Arial"/>
          <w:sz w:val="24"/>
          <w:szCs w:val="24"/>
        </w:rPr>
      </w:pPr>
    </w:p>
    <w:p w:rsidR="00D64AB3" w:rsidRPr="009D211D" w:rsidRDefault="00D64AB3" w:rsidP="009D211D">
      <w:pPr>
        <w:tabs>
          <w:tab w:val="left" w:pos="1510"/>
        </w:tabs>
        <w:jc w:val="left"/>
        <w:rPr>
          <w:rFonts w:cs="Arial"/>
          <w:sz w:val="24"/>
          <w:szCs w:val="24"/>
        </w:rPr>
      </w:pPr>
    </w:p>
    <w:p w:rsidR="00E31A15" w:rsidRPr="009D211D" w:rsidRDefault="00E31A15" w:rsidP="009D211D">
      <w:pPr>
        <w:tabs>
          <w:tab w:val="left" w:pos="1510"/>
        </w:tabs>
        <w:jc w:val="left"/>
        <w:rPr>
          <w:rFonts w:cs="Arial"/>
          <w:sz w:val="24"/>
          <w:szCs w:val="24"/>
        </w:rPr>
      </w:pPr>
    </w:p>
    <w:p w:rsidR="00FC0151" w:rsidRPr="00E31A15" w:rsidRDefault="00390A3A" w:rsidP="00FC0151">
      <w:pPr>
        <w:tabs>
          <w:tab w:val="left" w:pos="1510"/>
        </w:tabs>
        <w:jc w:val="left"/>
        <w:rPr>
          <w:rFonts w:cs="Arial"/>
          <w:noProof/>
          <w:sz w:val="24"/>
          <w:szCs w:val="24"/>
        </w:rPr>
      </w:pPr>
      <w:r w:rsidRPr="00E31A15">
        <w:rPr>
          <w:rFonts w:cs="Arial"/>
          <w:noProof/>
          <w:sz w:val="24"/>
          <w:szCs w:val="24"/>
        </w:rPr>
        <w:drawing>
          <wp:inline distT="0" distB="0" distL="0" distR="0">
            <wp:extent cx="5848350" cy="394335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48350" cy="3943350"/>
                    </a:xfrm>
                    <a:prstGeom prst="rect">
                      <a:avLst/>
                    </a:prstGeom>
                    <a:noFill/>
                    <a:ln>
                      <a:noFill/>
                    </a:ln>
                  </pic:spPr>
                </pic:pic>
              </a:graphicData>
            </a:graphic>
          </wp:inline>
        </w:drawing>
      </w:r>
    </w:p>
    <w:sectPr w:rsidR="00FC0151" w:rsidRPr="00E31A15" w:rsidSect="00E31A15">
      <w:pgSz w:w="11906" w:h="16838" w:code="9"/>
      <w:pgMar w:top="819" w:right="1134" w:bottom="993" w:left="1134" w:header="568"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50C" w:rsidRDefault="00C6350C">
      <w:r>
        <w:separator/>
      </w:r>
    </w:p>
  </w:endnote>
  <w:endnote w:type="continuationSeparator" w:id="0">
    <w:p w:rsidR="00C6350C" w:rsidRDefault="00C6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47B" w:rsidRPr="00E866B1" w:rsidRDefault="002B647B" w:rsidP="00BE0109">
    <w:pPr>
      <w:pStyle w:val="Footer"/>
      <w:pBdr>
        <w:top w:val="double" w:sz="4" w:space="4" w:color="auto"/>
      </w:pBdr>
      <w:tabs>
        <w:tab w:val="clear" w:pos="4153"/>
        <w:tab w:val="clear" w:pos="8306"/>
        <w:tab w:val="center" w:pos="4820"/>
        <w:tab w:val="right" w:pos="9639"/>
      </w:tabs>
      <w:rPr>
        <w:spacing w:val="0"/>
        <w:sz w:val="20"/>
        <w:szCs w:val="20"/>
      </w:rPr>
    </w:pPr>
    <w:r w:rsidRPr="00E866B1">
      <w:rPr>
        <w:spacing w:val="0"/>
        <w:sz w:val="20"/>
        <w:szCs w:val="20"/>
      </w:rPr>
      <w:t>Version</w:t>
    </w:r>
    <w:r>
      <w:rPr>
        <w:spacing w:val="0"/>
        <w:sz w:val="20"/>
        <w:szCs w:val="20"/>
      </w:rPr>
      <w:t xml:space="preserve"> 0.</w:t>
    </w:r>
    <w:r w:rsidR="00756AB1">
      <w:rPr>
        <w:spacing w:val="0"/>
        <w:sz w:val="20"/>
        <w:szCs w:val="20"/>
      </w:rPr>
      <w:t>1</w:t>
    </w:r>
    <w:r w:rsidRPr="00E866B1">
      <w:rPr>
        <w:spacing w:val="0"/>
        <w:sz w:val="20"/>
        <w:szCs w:val="20"/>
      </w:rPr>
      <w:tab/>
      <w:t xml:space="preserve">Page </w:t>
    </w:r>
    <w:r w:rsidRPr="00E866B1">
      <w:rPr>
        <w:b/>
        <w:spacing w:val="0"/>
        <w:sz w:val="20"/>
        <w:szCs w:val="20"/>
      </w:rPr>
      <w:fldChar w:fldCharType="begin"/>
    </w:r>
    <w:r w:rsidRPr="00E866B1">
      <w:rPr>
        <w:b/>
        <w:spacing w:val="0"/>
        <w:sz w:val="20"/>
        <w:szCs w:val="20"/>
      </w:rPr>
      <w:instrText xml:space="preserve"> PAGE  \* Arabic  \* MERGEFORMAT </w:instrText>
    </w:r>
    <w:r w:rsidRPr="00E866B1">
      <w:rPr>
        <w:b/>
        <w:spacing w:val="0"/>
        <w:sz w:val="20"/>
        <w:szCs w:val="20"/>
      </w:rPr>
      <w:fldChar w:fldCharType="separate"/>
    </w:r>
    <w:r>
      <w:rPr>
        <w:b/>
        <w:noProof/>
        <w:spacing w:val="0"/>
        <w:sz w:val="20"/>
        <w:szCs w:val="20"/>
      </w:rPr>
      <w:t>7</w:t>
    </w:r>
    <w:r w:rsidRPr="00E866B1">
      <w:rPr>
        <w:b/>
        <w:spacing w:val="0"/>
        <w:sz w:val="20"/>
        <w:szCs w:val="20"/>
      </w:rPr>
      <w:fldChar w:fldCharType="end"/>
    </w:r>
    <w:r w:rsidRPr="00E866B1">
      <w:rPr>
        <w:spacing w:val="0"/>
        <w:sz w:val="20"/>
        <w:szCs w:val="20"/>
      </w:rPr>
      <w:t xml:space="preserve"> of </w:t>
    </w:r>
    <w:r w:rsidRPr="00E866B1">
      <w:rPr>
        <w:b/>
        <w:spacing w:val="0"/>
        <w:sz w:val="20"/>
        <w:szCs w:val="20"/>
      </w:rPr>
      <w:fldChar w:fldCharType="begin"/>
    </w:r>
    <w:r w:rsidRPr="00E866B1">
      <w:rPr>
        <w:b/>
        <w:spacing w:val="0"/>
        <w:sz w:val="20"/>
        <w:szCs w:val="20"/>
      </w:rPr>
      <w:instrText xml:space="preserve"> NUMPAGES  \* Arabic  \* MERGEFORMAT </w:instrText>
    </w:r>
    <w:r w:rsidRPr="00E866B1">
      <w:rPr>
        <w:b/>
        <w:spacing w:val="0"/>
        <w:sz w:val="20"/>
        <w:szCs w:val="20"/>
      </w:rPr>
      <w:fldChar w:fldCharType="separate"/>
    </w:r>
    <w:r>
      <w:rPr>
        <w:b/>
        <w:noProof/>
        <w:spacing w:val="0"/>
        <w:sz w:val="20"/>
        <w:szCs w:val="20"/>
      </w:rPr>
      <w:t>10</w:t>
    </w:r>
    <w:r w:rsidRPr="00E866B1">
      <w:rPr>
        <w:b/>
        <w:spacing w:val="0"/>
        <w:sz w:val="20"/>
        <w:szCs w:val="20"/>
      </w:rPr>
      <w:fldChar w:fldCharType="end"/>
    </w:r>
    <w:r w:rsidRPr="00E866B1">
      <w:rPr>
        <w:spacing w:val="0"/>
        <w:sz w:val="20"/>
        <w:szCs w:val="20"/>
      </w:rPr>
      <w:tab/>
    </w:r>
    <w:r w:rsidR="00756AB1">
      <w:rPr>
        <w:spacing w:val="0"/>
        <w:sz w:val="20"/>
        <w:szCs w:val="20"/>
      </w:rPr>
      <w:t>July</w:t>
    </w:r>
    <w:r>
      <w:rPr>
        <w:spacing w:val="0"/>
        <w:sz w:val="20"/>
        <w:szCs w:val="20"/>
      </w:rPr>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F23" w:rsidRPr="00877521" w:rsidRDefault="00560F23" w:rsidP="00560F23">
    <w:pPr>
      <w:pStyle w:val="Footer"/>
      <w:ind w:firstLine="720"/>
      <w:rPr>
        <w:spacing w:val="0"/>
        <w:sz w:val="20"/>
        <w:szCs w:val="20"/>
      </w:rPr>
    </w:pPr>
    <w:r w:rsidRPr="00877521">
      <w:rPr>
        <w:spacing w:val="0"/>
        <w:sz w:val="20"/>
        <w:szCs w:val="20"/>
      </w:rPr>
      <w:t xml:space="preserve">Version </w:t>
    </w:r>
    <w:r w:rsidR="00521D31">
      <w:rPr>
        <w:spacing w:val="0"/>
        <w:sz w:val="20"/>
        <w:szCs w:val="20"/>
      </w:rPr>
      <w:t>1</w:t>
    </w:r>
    <w:r w:rsidRPr="00877521">
      <w:rPr>
        <w:spacing w:val="0"/>
        <w:sz w:val="20"/>
        <w:szCs w:val="20"/>
      </w:rPr>
      <w:tab/>
    </w:r>
    <w:r w:rsidR="00877521" w:rsidRPr="00E866B1">
      <w:rPr>
        <w:spacing w:val="0"/>
        <w:sz w:val="20"/>
        <w:szCs w:val="20"/>
      </w:rPr>
      <w:t xml:space="preserve">Page </w:t>
    </w:r>
    <w:r w:rsidR="00877521" w:rsidRPr="00877521">
      <w:rPr>
        <w:spacing w:val="0"/>
        <w:sz w:val="20"/>
        <w:szCs w:val="20"/>
      </w:rPr>
      <w:fldChar w:fldCharType="begin"/>
    </w:r>
    <w:r w:rsidR="00877521" w:rsidRPr="00877521">
      <w:rPr>
        <w:spacing w:val="0"/>
        <w:sz w:val="20"/>
        <w:szCs w:val="20"/>
      </w:rPr>
      <w:instrText xml:space="preserve"> PAGE  \* Arabic  \* MERGEFORMAT </w:instrText>
    </w:r>
    <w:r w:rsidR="00877521" w:rsidRPr="00877521">
      <w:rPr>
        <w:spacing w:val="0"/>
        <w:sz w:val="20"/>
        <w:szCs w:val="20"/>
      </w:rPr>
      <w:fldChar w:fldCharType="separate"/>
    </w:r>
    <w:r w:rsidR="00877521" w:rsidRPr="00877521">
      <w:rPr>
        <w:spacing w:val="0"/>
        <w:sz w:val="20"/>
        <w:szCs w:val="20"/>
      </w:rPr>
      <w:t>2</w:t>
    </w:r>
    <w:r w:rsidR="00877521" w:rsidRPr="00877521">
      <w:rPr>
        <w:spacing w:val="0"/>
        <w:sz w:val="20"/>
        <w:szCs w:val="20"/>
      </w:rPr>
      <w:fldChar w:fldCharType="end"/>
    </w:r>
    <w:r w:rsidR="00877521" w:rsidRPr="00E866B1">
      <w:rPr>
        <w:spacing w:val="0"/>
        <w:sz w:val="20"/>
        <w:szCs w:val="20"/>
      </w:rPr>
      <w:t xml:space="preserve"> of </w:t>
    </w:r>
    <w:r w:rsidR="00877521" w:rsidRPr="00877521">
      <w:rPr>
        <w:spacing w:val="0"/>
        <w:sz w:val="20"/>
        <w:szCs w:val="20"/>
      </w:rPr>
      <w:fldChar w:fldCharType="begin"/>
    </w:r>
    <w:r w:rsidR="00877521" w:rsidRPr="00877521">
      <w:rPr>
        <w:spacing w:val="0"/>
        <w:sz w:val="20"/>
        <w:szCs w:val="20"/>
      </w:rPr>
      <w:instrText xml:space="preserve"> NUMPAGES  \* Arabic  \* MERGEFORMAT </w:instrText>
    </w:r>
    <w:r w:rsidR="00877521" w:rsidRPr="00877521">
      <w:rPr>
        <w:spacing w:val="0"/>
        <w:sz w:val="20"/>
        <w:szCs w:val="20"/>
      </w:rPr>
      <w:fldChar w:fldCharType="separate"/>
    </w:r>
    <w:r w:rsidR="00877521" w:rsidRPr="00877521">
      <w:rPr>
        <w:spacing w:val="0"/>
        <w:sz w:val="20"/>
        <w:szCs w:val="20"/>
      </w:rPr>
      <w:t>17</w:t>
    </w:r>
    <w:r w:rsidR="00877521" w:rsidRPr="00877521">
      <w:rPr>
        <w:spacing w:val="0"/>
        <w:sz w:val="20"/>
        <w:szCs w:val="20"/>
      </w:rPr>
      <w:fldChar w:fldCharType="end"/>
    </w:r>
    <w:r w:rsidRPr="00877521">
      <w:rPr>
        <w:spacing w:val="0"/>
        <w:sz w:val="20"/>
        <w:szCs w:val="20"/>
      </w:rPr>
      <w:tab/>
    </w:r>
    <w:r w:rsidR="009B3B64">
      <w:rPr>
        <w:spacing w:val="0"/>
        <w:sz w:val="20"/>
        <w:szCs w:val="20"/>
      </w:rPr>
      <w:t>January</w:t>
    </w:r>
    <w:r w:rsidRPr="00877521">
      <w:rPr>
        <w:spacing w:val="0"/>
        <w:sz w:val="20"/>
        <w:szCs w:val="20"/>
      </w:rPr>
      <w:t xml:space="preserve"> 202</w:t>
    </w:r>
    <w:r w:rsidR="009B3B64">
      <w:rPr>
        <w:spacing w:val="0"/>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50C" w:rsidRDefault="00C6350C">
      <w:r>
        <w:separator/>
      </w:r>
    </w:p>
  </w:footnote>
  <w:footnote w:type="continuationSeparator" w:id="0">
    <w:p w:rsidR="00C6350C" w:rsidRDefault="00C63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47B" w:rsidRPr="00E866B1" w:rsidRDefault="002B647B" w:rsidP="00BF726C">
    <w:pPr>
      <w:pStyle w:val="Header"/>
      <w:pBdr>
        <w:bottom w:val="double" w:sz="4" w:space="1" w:color="auto"/>
      </w:pBdr>
      <w:tabs>
        <w:tab w:val="clear" w:pos="8306"/>
        <w:tab w:val="left" w:pos="-180"/>
        <w:tab w:val="right" w:pos="9639"/>
      </w:tabs>
      <w:rPr>
        <w:spacing w:val="0"/>
        <w:sz w:val="20"/>
        <w:szCs w:val="20"/>
      </w:rPr>
    </w:pPr>
    <w:r w:rsidRPr="00E866B1">
      <w:rPr>
        <w:spacing w:val="0"/>
        <w:sz w:val="20"/>
        <w:szCs w:val="20"/>
      </w:rPr>
      <w:t>Kent Community Health NHS Foundation Trust</w:t>
    </w:r>
    <w:r w:rsidRPr="00E866B1">
      <w:rPr>
        <w:spacing w:val="0"/>
        <w:sz w:val="20"/>
        <w:szCs w:val="20"/>
      </w:rPr>
      <w:tab/>
    </w:r>
    <w:r>
      <w:rPr>
        <w:spacing w:val="0"/>
        <w:sz w:val="20"/>
        <w:szCs w:val="20"/>
      </w:rPr>
      <w:t>(</w:t>
    </w:r>
    <w:r w:rsidRPr="006508BA">
      <w:rPr>
        <w:spacing w:val="0"/>
        <w:sz w:val="20"/>
        <w:szCs w:val="20"/>
      </w:rPr>
      <w:t xml:space="preserve">Patient </w:t>
    </w:r>
    <w:r w:rsidR="00A07BCC">
      <w:rPr>
        <w:spacing w:val="0"/>
        <w:sz w:val="20"/>
        <w:szCs w:val="20"/>
      </w:rPr>
      <w:t>S</w:t>
    </w:r>
    <w:r w:rsidRPr="006508BA">
      <w:rPr>
        <w:spacing w:val="0"/>
        <w:sz w:val="20"/>
        <w:szCs w:val="20"/>
      </w:rPr>
      <w:t xml:space="preserve">afety </w:t>
    </w:r>
    <w:r w:rsidR="00A07BCC">
      <w:rPr>
        <w:spacing w:val="0"/>
        <w:sz w:val="20"/>
        <w:szCs w:val="20"/>
      </w:rPr>
      <w:t>I</w:t>
    </w:r>
    <w:r w:rsidRPr="006508BA">
      <w:rPr>
        <w:spacing w:val="0"/>
        <w:sz w:val="20"/>
        <w:szCs w:val="20"/>
      </w:rPr>
      <w:t xml:space="preserve">ncident </w:t>
    </w:r>
    <w:r w:rsidR="00A07BCC">
      <w:rPr>
        <w:spacing w:val="0"/>
        <w:sz w:val="20"/>
        <w:szCs w:val="20"/>
      </w:rPr>
      <w:t>R</w:t>
    </w:r>
    <w:r w:rsidRPr="006508BA">
      <w:rPr>
        <w:spacing w:val="0"/>
        <w:sz w:val="20"/>
        <w:szCs w:val="20"/>
      </w:rPr>
      <w:t xml:space="preserve">esponse </w:t>
    </w:r>
    <w:r w:rsidR="00A07BCC">
      <w:rPr>
        <w:spacing w:val="0"/>
        <w:sz w:val="20"/>
        <w:szCs w:val="20"/>
      </w:rPr>
      <w:t>P</w:t>
    </w:r>
    <w:r w:rsidRPr="006508BA">
      <w:rPr>
        <w:spacing w:val="0"/>
        <w:sz w:val="20"/>
        <w:szCs w:val="20"/>
      </w:rPr>
      <w:t>lan</w:t>
    </w:r>
    <w:r>
      <w:rPr>
        <w:spacing w:val="0"/>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47B" w:rsidRPr="00674F28" w:rsidRDefault="00674F28" w:rsidP="00674F28">
    <w:pPr>
      <w:pStyle w:val="Header"/>
      <w:tabs>
        <w:tab w:val="left" w:pos="347"/>
        <w:tab w:val="right" w:pos="9638"/>
      </w:tabs>
      <w:jc w:val="left"/>
      <w:rPr>
        <w:b/>
        <w:color w:val="FF0000"/>
        <w:sz w:val="18"/>
        <w:szCs w:val="18"/>
      </w:rPr>
    </w:pPr>
    <w:r>
      <w:tab/>
    </w:r>
    <w:r w:rsidRPr="00674F28">
      <w:rPr>
        <w:b/>
        <w:color w:val="FF0000"/>
        <w:sz w:val="18"/>
        <w:szCs w:val="18"/>
      </w:rPr>
      <w:tab/>
    </w:r>
    <w:r w:rsidRPr="00674F28">
      <w:rPr>
        <w:b/>
        <w:color w:val="FF0000"/>
        <w:sz w:val="18"/>
        <w:szCs w:val="18"/>
      </w:rPr>
      <w:tab/>
    </w:r>
    <w:r w:rsidRPr="00674F28">
      <w:rPr>
        <w:b/>
        <w:color w:val="FF0000"/>
        <w:sz w:val="18"/>
        <w:szCs w:val="18"/>
      </w:rPr>
      <w:tab/>
    </w:r>
    <w:r w:rsidR="00390A3A" w:rsidRPr="00674F28">
      <w:rPr>
        <w:b/>
        <w:noProof/>
        <w:color w:val="FF0000"/>
        <w:sz w:val="18"/>
        <w:szCs w:val="18"/>
      </w:rPr>
      <w:drawing>
        <wp:anchor distT="0" distB="0" distL="114300" distR="114300" simplePos="0" relativeHeight="251657728" behindDoc="0" locked="0" layoutInCell="1" allowOverlap="1">
          <wp:simplePos x="0" y="0"/>
          <wp:positionH relativeFrom="column">
            <wp:posOffset>3438525</wp:posOffset>
          </wp:positionH>
          <wp:positionV relativeFrom="paragraph">
            <wp:posOffset>-193675</wp:posOffset>
          </wp:positionV>
          <wp:extent cx="2680335" cy="1177290"/>
          <wp:effectExtent l="0" t="0" r="0" b="0"/>
          <wp:wrapSquare wrapText="bothSides"/>
          <wp:docPr id="2" name="Picture 2" descr="New Trust logo Feb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Trust logo Feb 20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0335" cy="1177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11C01"/>
    <w:multiLevelType w:val="hybridMultilevel"/>
    <w:tmpl w:val="1478B3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D32771E"/>
    <w:multiLevelType w:val="hybridMultilevel"/>
    <w:tmpl w:val="0130F8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B0E3D"/>
    <w:multiLevelType w:val="hybridMultilevel"/>
    <w:tmpl w:val="D69A4C3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7693D4B"/>
    <w:multiLevelType w:val="hybridMultilevel"/>
    <w:tmpl w:val="4DA07504"/>
    <w:lvl w:ilvl="0" w:tplc="08090001">
      <w:start w:val="1"/>
      <w:numFmt w:val="bullet"/>
      <w:lvlText w:val=""/>
      <w:lvlJc w:val="left"/>
      <w:pPr>
        <w:ind w:left="720" w:hanging="360"/>
      </w:pPr>
      <w:rPr>
        <w:rFonts w:ascii="Symbol" w:hAnsi="Symbol" w:hint="default"/>
      </w:rPr>
    </w:lvl>
    <w:lvl w:ilvl="1" w:tplc="B212E250">
      <w:start w:val="1"/>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5447D7"/>
    <w:multiLevelType w:val="hybridMultilevel"/>
    <w:tmpl w:val="8F007A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F96B79"/>
    <w:multiLevelType w:val="multilevel"/>
    <w:tmpl w:val="B24EC60A"/>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D4C6D05"/>
    <w:multiLevelType w:val="hybridMultilevel"/>
    <w:tmpl w:val="2A3A3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EE392A"/>
    <w:multiLevelType w:val="hybridMultilevel"/>
    <w:tmpl w:val="79F2C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DA05B1"/>
    <w:multiLevelType w:val="hybridMultilevel"/>
    <w:tmpl w:val="FB70A8A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30EF70F4"/>
    <w:multiLevelType w:val="hybridMultilevel"/>
    <w:tmpl w:val="1638B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5B10D7"/>
    <w:multiLevelType w:val="multilevel"/>
    <w:tmpl w:val="88A8276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ED5262F"/>
    <w:multiLevelType w:val="hybridMultilevel"/>
    <w:tmpl w:val="E1700A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6932B6"/>
    <w:multiLevelType w:val="hybridMultilevel"/>
    <w:tmpl w:val="71BEF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E9565D"/>
    <w:multiLevelType w:val="multilevel"/>
    <w:tmpl w:val="01C659C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C0645F8"/>
    <w:multiLevelType w:val="hybridMultilevel"/>
    <w:tmpl w:val="1A883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A0627A"/>
    <w:multiLevelType w:val="hybridMultilevel"/>
    <w:tmpl w:val="4AA86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311F9A"/>
    <w:multiLevelType w:val="hybridMultilevel"/>
    <w:tmpl w:val="3802F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A0D30A7"/>
    <w:multiLevelType w:val="multilevel"/>
    <w:tmpl w:val="5860C82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B8B0B51"/>
    <w:multiLevelType w:val="hybridMultilevel"/>
    <w:tmpl w:val="311C7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45374B0"/>
    <w:multiLevelType w:val="hybridMultilevel"/>
    <w:tmpl w:val="8ABE1E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5727819"/>
    <w:multiLevelType w:val="multilevel"/>
    <w:tmpl w:val="FD5A27A8"/>
    <w:lvl w:ilvl="0">
      <w:start w:val="1"/>
      <w:numFmt w:val="decimal"/>
      <w:pStyle w:val="Heading1"/>
      <w:lvlText w:val="%1"/>
      <w:lvlJc w:val="left"/>
      <w:pPr>
        <w:tabs>
          <w:tab w:val="num" w:pos="432"/>
        </w:tabs>
        <w:ind w:left="432" w:hanging="432"/>
      </w:pPr>
      <w:rPr>
        <w:rFonts w:cs="Times New Roman"/>
        <w:b w:val="0"/>
        <w:bCs w:val="0"/>
        <w:i w:val="0"/>
        <w:iCs w:val="0"/>
        <w:caps w:val="0"/>
        <w:smallCaps w:val="0"/>
        <w:strike w:val="0"/>
        <w:dstrike w:val="0"/>
        <w:outline w:val="0"/>
        <w:shadow w:val="0"/>
        <w:emboss w:val="0"/>
        <w:imprint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ascii="Arial" w:hAnsi="Arial" w:cs="Arial" w:hint="default"/>
        <w:b w:val="0"/>
        <w:bCs w:val="0"/>
        <w:i w:val="0"/>
        <w:iCs w:val="0"/>
        <w:caps w:val="0"/>
        <w:smallCaps w:val="0"/>
        <w:strike w:val="0"/>
        <w:dstrike w:val="0"/>
        <w:outline w:val="0"/>
        <w:shadow w:val="0"/>
        <w:emboss w:val="0"/>
        <w:imprint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b w:val="0"/>
        <w:i w:val="0"/>
        <w:sz w:val="24"/>
      </w:rPr>
    </w:lvl>
    <w:lvl w:ilvl="3">
      <w:start w:val="1"/>
      <w:numFmt w:val="decimal"/>
      <w:pStyle w:val="Heading4"/>
      <w:lvlText w:val="%1.%2.%3.%4"/>
      <w:lvlJc w:val="left"/>
      <w:pPr>
        <w:tabs>
          <w:tab w:val="num" w:pos="864"/>
        </w:tabs>
        <w:ind w:left="864" w:hanging="864"/>
      </w:pPr>
      <w:rPr>
        <w:rFonts w:hint="default"/>
        <w:b w:val="0"/>
        <w:i w:val="0"/>
        <w:sz w:val="24"/>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7A2D680D"/>
    <w:multiLevelType w:val="hybridMultilevel"/>
    <w:tmpl w:val="26505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D8D4E68"/>
    <w:multiLevelType w:val="hybridMultilevel"/>
    <w:tmpl w:val="B9E283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E9C7AF2"/>
    <w:multiLevelType w:val="multilevel"/>
    <w:tmpl w:val="EB8264BA"/>
    <w:lvl w:ilvl="0">
      <w:numFmt w:val="bullet"/>
      <w:lvlText w:val="•"/>
      <w:lvlJc w:val="left"/>
      <w:pPr>
        <w:ind w:left="1070" w:hanging="360"/>
      </w:pPr>
      <w:rPr>
        <w:rFonts w:ascii="Arial" w:eastAsia="Times New Roman" w:hAnsi="Arial" w:cs="Arial" w:hint="default"/>
      </w:rPr>
    </w:lvl>
    <w:lvl w:ilvl="1">
      <w:start w:val="1"/>
      <w:numFmt w:val="bullet"/>
      <w:lvlText w:val=""/>
      <w:lvlJc w:val="left"/>
      <w:pPr>
        <w:ind w:left="433" w:hanging="432"/>
      </w:pPr>
      <w:rPr>
        <w:rFonts w:ascii="Symbol" w:hAnsi="Symbol" w:hint="default"/>
      </w:rPr>
    </w:lvl>
    <w:lvl w:ilvl="2">
      <w:start w:val="1"/>
      <w:numFmt w:val="decimal"/>
      <w:lvlText w:val="%1.%2.%3."/>
      <w:lvlJc w:val="left"/>
      <w:pPr>
        <w:ind w:left="516" w:hanging="504"/>
      </w:pPr>
    </w:lvl>
    <w:lvl w:ilvl="3">
      <w:start w:val="1"/>
      <w:numFmt w:val="decimal"/>
      <w:lvlText w:val="%1.%2.%3.%4."/>
      <w:lvlJc w:val="left"/>
      <w:pPr>
        <w:ind w:left="1020" w:hanging="648"/>
      </w:pPr>
    </w:lvl>
    <w:lvl w:ilvl="4">
      <w:start w:val="1"/>
      <w:numFmt w:val="decimal"/>
      <w:lvlText w:val="%1.%2.%3.%4.%5."/>
      <w:lvlJc w:val="left"/>
      <w:pPr>
        <w:ind w:left="1524" w:hanging="792"/>
      </w:pPr>
    </w:lvl>
    <w:lvl w:ilvl="5">
      <w:start w:val="1"/>
      <w:numFmt w:val="decimal"/>
      <w:lvlText w:val="%1.%2.%3.%4.%5.%6."/>
      <w:lvlJc w:val="left"/>
      <w:pPr>
        <w:ind w:left="2028" w:hanging="936"/>
      </w:pPr>
    </w:lvl>
    <w:lvl w:ilvl="6">
      <w:start w:val="1"/>
      <w:numFmt w:val="decimal"/>
      <w:lvlText w:val="%1.%2.%3.%4.%5.%6.%7."/>
      <w:lvlJc w:val="left"/>
      <w:pPr>
        <w:ind w:left="2532" w:hanging="1080"/>
      </w:pPr>
    </w:lvl>
    <w:lvl w:ilvl="7">
      <w:start w:val="1"/>
      <w:numFmt w:val="decimal"/>
      <w:lvlText w:val="%1.%2.%3.%4.%5.%6.%7.%8."/>
      <w:lvlJc w:val="left"/>
      <w:pPr>
        <w:ind w:left="3036" w:hanging="1224"/>
      </w:pPr>
    </w:lvl>
    <w:lvl w:ilvl="8">
      <w:start w:val="1"/>
      <w:numFmt w:val="decimal"/>
      <w:lvlText w:val="%1.%2.%3.%4.%5.%6.%7.%8.%9."/>
      <w:lvlJc w:val="left"/>
      <w:pPr>
        <w:ind w:left="3612" w:hanging="1440"/>
      </w:pPr>
    </w:lvl>
  </w:abstractNum>
  <w:num w:numId="1">
    <w:abstractNumId w:val="20"/>
  </w:num>
  <w:num w:numId="2">
    <w:abstractNumId w:val="17"/>
  </w:num>
  <w:num w:numId="3">
    <w:abstractNumId w:val="23"/>
  </w:num>
  <w:num w:numId="4">
    <w:abstractNumId w:val="19"/>
  </w:num>
  <w:num w:numId="5">
    <w:abstractNumId w:val="2"/>
  </w:num>
  <w:num w:numId="6">
    <w:abstractNumId w:val="8"/>
  </w:num>
  <w:num w:numId="7">
    <w:abstractNumId w:val="10"/>
  </w:num>
  <w:num w:numId="8">
    <w:abstractNumId w:val="4"/>
  </w:num>
  <w:num w:numId="9">
    <w:abstractNumId w:val="6"/>
  </w:num>
  <w:num w:numId="10">
    <w:abstractNumId w:val="11"/>
  </w:num>
  <w:num w:numId="11">
    <w:abstractNumId w:val="18"/>
  </w:num>
  <w:num w:numId="12">
    <w:abstractNumId w:val="1"/>
  </w:num>
  <w:num w:numId="13">
    <w:abstractNumId w:val="7"/>
  </w:num>
  <w:num w:numId="14">
    <w:abstractNumId w:val="12"/>
  </w:num>
  <w:num w:numId="15">
    <w:abstractNumId w:val="21"/>
  </w:num>
  <w:num w:numId="16">
    <w:abstractNumId w:val="16"/>
  </w:num>
  <w:num w:numId="17">
    <w:abstractNumId w:val="13"/>
  </w:num>
  <w:num w:numId="18">
    <w:abstractNumId w:val="14"/>
  </w:num>
  <w:num w:numId="19">
    <w:abstractNumId w:val="3"/>
  </w:num>
  <w:num w:numId="20">
    <w:abstractNumId w:val="5"/>
  </w:num>
  <w:num w:numId="21">
    <w:abstractNumId w:val="0"/>
  </w:num>
  <w:num w:numId="22">
    <w:abstractNumId w:val="15"/>
  </w:num>
  <w:num w:numId="23">
    <w:abstractNumId w:val="22"/>
  </w:num>
  <w:num w:numId="24">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D10"/>
    <w:rsid w:val="00003BF5"/>
    <w:rsid w:val="00003D64"/>
    <w:rsid w:val="0000613A"/>
    <w:rsid w:val="00006778"/>
    <w:rsid w:val="0000745F"/>
    <w:rsid w:val="000122DD"/>
    <w:rsid w:val="00016573"/>
    <w:rsid w:val="00016DE5"/>
    <w:rsid w:val="00017902"/>
    <w:rsid w:val="00021F5C"/>
    <w:rsid w:val="00024CAF"/>
    <w:rsid w:val="0002638A"/>
    <w:rsid w:val="00027630"/>
    <w:rsid w:val="0003018D"/>
    <w:rsid w:val="00032D77"/>
    <w:rsid w:val="00035CDD"/>
    <w:rsid w:val="00044FEF"/>
    <w:rsid w:val="00047AD8"/>
    <w:rsid w:val="00047F2C"/>
    <w:rsid w:val="000527A9"/>
    <w:rsid w:val="0005372F"/>
    <w:rsid w:val="00063ABC"/>
    <w:rsid w:val="00063EA9"/>
    <w:rsid w:val="000721C7"/>
    <w:rsid w:val="00076283"/>
    <w:rsid w:val="00080687"/>
    <w:rsid w:val="00085F7A"/>
    <w:rsid w:val="0009103C"/>
    <w:rsid w:val="000953CF"/>
    <w:rsid w:val="00095A2D"/>
    <w:rsid w:val="00096A8A"/>
    <w:rsid w:val="000A202E"/>
    <w:rsid w:val="000A3394"/>
    <w:rsid w:val="000A45CB"/>
    <w:rsid w:val="000A7615"/>
    <w:rsid w:val="000A7B40"/>
    <w:rsid w:val="000B1E47"/>
    <w:rsid w:val="000B31B5"/>
    <w:rsid w:val="000B4D93"/>
    <w:rsid w:val="000B554B"/>
    <w:rsid w:val="000B61A0"/>
    <w:rsid w:val="000C1869"/>
    <w:rsid w:val="000C45E6"/>
    <w:rsid w:val="000C5FC1"/>
    <w:rsid w:val="000C7690"/>
    <w:rsid w:val="000D0134"/>
    <w:rsid w:val="000D1601"/>
    <w:rsid w:val="000D175F"/>
    <w:rsid w:val="000D34D7"/>
    <w:rsid w:val="000E3421"/>
    <w:rsid w:val="000E5007"/>
    <w:rsid w:val="000E561B"/>
    <w:rsid w:val="000E681B"/>
    <w:rsid w:val="000F095D"/>
    <w:rsid w:val="000F266D"/>
    <w:rsid w:val="000F2773"/>
    <w:rsid w:val="0010439F"/>
    <w:rsid w:val="001059C6"/>
    <w:rsid w:val="00107C6E"/>
    <w:rsid w:val="00113FE6"/>
    <w:rsid w:val="00115CE7"/>
    <w:rsid w:val="00116957"/>
    <w:rsid w:val="00120C14"/>
    <w:rsid w:val="00122238"/>
    <w:rsid w:val="001234BF"/>
    <w:rsid w:val="00125517"/>
    <w:rsid w:val="0013063E"/>
    <w:rsid w:val="00130A94"/>
    <w:rsid w:val="00131407"/>
    <w:rsid w:val="0013173A"/>
    <w:rsid w:val="0013556B"/>
    <w:rsid w:val="00140EB3"/>
    <w:rsid w:val="00141504"/>
    <w:rsid w:val="0014243D"/>
    <w:rsid w:val="00142CA1"/>
    <w:rsid w:val="00151B1C"/>
    <w:rsid w:val="00154ECE"/>
    <w:rsid w:val="00163CA4"/>
    <w:rsid w:val="00165922"/>
    <w:rsid w:val="00167294"/>
    <w:rsid w:val="00171B33"/>
    <w:rsid w:val="00173181"/>
    <w:rsid w:val="0017680D"/>
    <w:rsid w:val="00176FBB"/>
    <w:rsid w:val="001824BF"/>
    <w:rsid w:val="00182B68"/>
    <w:rsid w:val="00183E54"/>
    <w:rsid w:val="001921CA"/>
    <w:rsid w:val="001A19BC"/>
    <w:rsid w:val="001A3FE4"/>
    <w:rsid w:val="001A4AD5"/>
    <w:rsid w:val="001B1875"/>
    <w:rsid w:val="001B2C52"/>
    <w:rsid w:val="001B519D"/>
    <w:rsid w:val="001B5AB8"/>
    <w:rsid w:val="001B64CD"/>
    <w:rsid w:val="001C5907"/>
    <w:rsid w:val="001C5C15"/>
    <w:rsid w:val="001C7400"/>
    <w:rsid w:val="001D0C1D"/>
    <w:rsid w:val="001D4976"/>
    <w:rsid w:val="001D5233"/>
    <w:rsid w:val="001E2C8A"/>
    <w:rsid w:val="001E4D91"/>
    <w:rsid w:val="001E64D2"/>
    <w:rsid w:val="001F4F25"/>
    <w:rsid w:val="00211F6D"/>
    <w:rsid w:val="002125AC"/>
    <w:rsid w:val="0021277B"/>
    <w:rsid w:val="00215A06"/>
    <w:rsid w:val="00223E57"/>
    <w:rsid w:val="002265FB"/>
    <w:rsid w:val="00227F06"/>
    <w:rsid w:val="00231529"/>
    <w:rsid w:val="0023176E"/>
    <w:rsid w:val="00235D12"/>
    <w:rsid w:val="00240DB6"/>
    <w:rsid w:val="00241867"/>
    <w:rsid w:val="00243B1F"/>
    <w:rsid w:val="00253B30"/>
    <w:rsid w:val="00257120"/>
    <w:rsid w:val="0025750D"/>
    <w:rsid w:val="00260ED6"/>
    <w:rsid w:val="002615B4"/>
    <w:rsid w:val="00265ABE"/>
    <w:rsid w:val="002738F9"/>
    <w:rsid w:val="00275E92"/>
    <w:rsid w:val="00277B13"/>
    <w:rsid w:val="00283415"/>
    <w:rsid w:val="002906C3"/>
    <w:rsid w:val="002A03C3"/>
    <w:rsid w:val="002A1C3A"/>
    <w:rsid w:val="002A2C71"/>
    <w:rsid w:val="002A6784"/>
    <w:rsid w:val="002A78BD"/>
    <w:rsid w:val="002B2934"/>
    <w:rsid w:val="002B37BC"/>
    <w:rsid w:val="002B647B"/>
    <w:rsid w:val="002C0EBB"/>
    <w:rsid w:val="002C134E"/>
    <w:rsid w:val="002C562C"/>
    <w:rsid w:val="002C5C21"/>
    <w:rsid w:val="002D0650"/>
    <w:rsid w:val="002D32B7"/>
    <w:rsid w:val="002D357D"/>
    <w:rsid w:val="002D6009"/>
    <w:rsid w:val="002D7FFC"/>
    <w:rsid w:val="002E00C4"/>
    <w:rsid w:val="002E3B75"/>
    <w:rsid w:val="002E5D37"/>
    <w:rsid w:val="002E6639"/>
    <w:rsid w:val="002F15E6"/>
    <w:rsid w:val="002F46C9"/>
    <w:rsid w:val="0030343A"/>
    <w:rsid w:val="0030742E"/>
    <w:rsid w:val="00315719"/>
    <w:rsid w:val="00320CB5"/>
    <w:rsid w:val="0032428B"/>
    <w:rsid w:val="00325D26"/>
    <w:rsid w:val="00335516"/>
    <w:rsid w:val="0034772C"/>
    <w:rsid w:val="00354411"/>
    <w:rsid w:val="003546B0"/>
    <w:rsid w:val="00354FB6"/>
    <w:rsid w:val="00357680"/>
    <w:rsid w:val="0036179A"/>
    <w:rsid w:val="00370454"/>
    <w:rsid w:val="00375F6F"/>
    <w:rsid w:val="00377E39"/>
    <w:rsid w:val="00380667"/>
    <w:rsid w:val="00381730"/>
    <w:rsid w:val="00383042"/>
    <w:rsid w:val="00383D0E"/>
    <w:rsid w:val="00385C32"/>
    <w:rsid w:val="00385E8F"/>
    <w:rsid w:val="0038674A"/>
    <w:rsid w:val="00390A3A"/>
    <w:rsid w:val="00390D9D"/>
    <w:rsid w:val="00391206"/>
    <w:rsid w:val="00393F15"/>
    <w:rsid w:val="00397340"/>
    <w:rsid w:val="00397CB7"/>
    <w:rsid w:val="003A0F03"/>
    <w:rsid w:val="003A235E"/>
    <w:rsid w:val="003A52AD"/>
    <w:rsid w:val="003A609E"/>
    <w:rsid w:val="003B1E9B"/>
    <w:rsid w:val="003B29EF"/>
    <w:rsid w:val="003B7F3A"/>
    <w:rsid w:val="003C1909"/>
    <w:rsid w:val="003C3130"/>
    <w:rsid w:val="003C375C"/>
    <w:rsid w:val="003C4115"/>
    <w:rsid w:val="003C4385"/>
    <w:rsid w:val="003C6246"/>
    <w:rsid w:val="003D1146"/>
    <w:rsid w:val="003E36A7"/>
    <w:rsid w:val="003E4CE4"/>
    <w:rsid w:val="003E4CE7"/>
    <w:rsid w:val="003E6F62"/>
    <w:rsid w:val="003F173A"/>
    <w:rsid w:val="003F4F54"/>
    <w:rsid w:val="00400E29"/>
    <w:rsid w:val="00401BB9"/>
    <w:rsid w:val="00402353"/>
    <w:rsid w:val="004023EB"/>
    <w:rsid w:val="00402518"/>
    <w:rsid w:val="0040701F"/>
    <w:rsid w:val="00407033"/>
    <w:rsid w:val="0040772A"/>
    <w:rsid w:val="00410F5F"/>
    <w:rsid w:val="004118FB"/>
    <w:rsid w:val="00411AE3"/>
    <w:rsid w:val="00413E46"/>
    <w:rsid w:val="00413E59"/>
    <w:rsid w:val="004235FF"/>
    <w:rsid w:val="00424E64"/>
    <w:rsid w:val="00426935"/>
    <w:rsid w:val="00430AEE"/>
    <w:rsid w:val="00431E4F"/>
    <w:rsid w:val="004326D9"/>
    <w:rsid w:val="00435587"/>
    <w:rsid w:val="00437B51"/>
    <w:rsid w:val="00437CC4"/>
    <w:rsid w:val="00442AEB"/>
    <w:rsid w:val="00443230"/>
    <w:rsid w:val="00443C40"/>
    <w:rsid w:val="004531F2"/>
    <w:rsid w:val="0045595B"/>
    <w:rsid w:val="00455CCC"/>
    <w:rsid w:val="00456B4F"/>
    <w:rsid w:val="00462CC2"/>
    <w:rsid w:val="0046330D"/>
    <w:rsid w:val="00464E26"/>
    <w:rsid w:val="00465E44"/>
    <w:rsid w:val="00471131"/>
    <w:rsid w:val="0047290D"/>
    <w:rsid w:val="00480D74"/>
    <w:rsid w:val="00481362"/>
    <w:rsid w:val="00482C52"/>
    <w:rsid w:val="004862A5"/>
    <w:rsid w:val="00490DB2"/>
    <w:rsid w:val="00492A1E"/>
    <w:rsid w:val="00494F89"/>
    <w:rsid w:val="004A014F"/>
    <w:rsid w:val="004A058A"/>
    <w:rsid w:val="004A1358"/>
    <w:rsid w:val="004A1F15"/>
    <w:rsid w:val="004A211E"/>
    <w:rsid w:val="004B7210"/>
    <w:rsid w:val="004C11DA"/>
    <w:rsid w:val="004C71C0"/>
    <w:rsid w:val="004D20FA"/>
    <w:rsid w:val="004D3E29"/>
    <w:rsid w:val="004D4050"/>
    <w:rsid w:val="004D4B29"/>
    <w:rsid w:val="004D6ECE"/>
    <w:rsid w:val="004E27D1"/>
    <w:rsid w:val="004E31C3"/>
    <w:rsid w:val="004F1C3E"/>
    <w:rsid w:val="004F4704"/>
    <w:rsid w:val="004F4DAC"/>
    <w:rsid w:val="00500641"/>
    <w:rsid w:val="0050110A"/>
    <w:rsid w:val="005056E3"/>
    <w:rsid w:val="00505F62"/>
    <w:rsid w:val="00507025"/>
    <w:rsid w:val="00512659"/>
    <w:rsid w:val="00517320"/>
    <w:rsid w:val="00520648"/>
    <w:rsid w:val="005207D6"/>
    <w:rsid w:val="00521D31"/>
    <w:rsid w:val="0052277A"/>
    <w:rsid w:val="00523791"/>
    <w:rsid w:val="00526046"/>
    <w:rsid w:val="0052748B"/>
    <w:rsid w:val="00527CAF"/>
    <w:rsid w:val="00527F8D"/>
    <w:rsid w:val="00531D9E"/>
    <w:rsid w:val="00535A9E"/>
    <w:rsid w:val="00535EEB"/>
    <w:rsid w:val="00535F55"/>
    <w:rsid w:val="00536AFD"/>
    <w:rsid w:val="00541A26"/>
    <w:rsid w:val="005440EA"/>
    <w:rsid w:val="005479FC"/>
    <w:rsid w:val="005520BE"/>
    <w:rsid w:val="00552129"/>
    <w:rsid w:val="0055632E"/>
    <w:rsid w:val="00560210"/>
    <w:rsid w:val="00560F23"/>
    <w:rsid w:val="00562A3D"/>
    <w:rsid w:val="00562EA7"/>
    <w:rsid w:val="00565FE1"/>
    <w:rsid w:val="0056743B"/>
    <w:rsid w:val="00571AF3"/>
    <w:rsid w:val="00573100"/>
    <w:rsid w:val="005739B5"/>
    <w:rsid w:val="0058028A"/>
    <w:rsid w:val="00580B8C"/>
    <w:rsid w:val="00584396"/>
    <w:rsid w:val="00587325"/>
    <w:rsid w:val="005875E5"/>
    <w:rsid w:val="00593870"/>
    <w:rsid w:val="0059503B"/>
    <w:rsid w:val="00595F89"/>
    <w:rsid w:val="005A4620"/>
    <w:rsid w:val="005A53AE"/>
    <w:rsid w:val="005B3FC8"/>
    <w:rsid w:val="005B5467"/>
    <w:rsid w:val="005B5B5B"/>
    <w:rsid w:val="005B5EB0"/>
    <w:rsid w:val="005B629E"/>
    <w:rsid w:val="005C5AE8"/>
    <w:rsid w:val="005C6278"/>
    <w:rsid w:val="005C66EF"/>
    <w:rsid w:val="005C722F"/>
    <w:rsid w:val="005D1ABA"/>
    <w:rsid w:val="005D6C45"/>
    <w:rsid w:val="005E2168"/>
    <w:rsid w:val="005E65DA"/>
    <w:rsid w:val="005E6C64"/>
    <w:rsid w:val="005F04E5"/>
    <w:rsid w:val="005F11FE"/>
    <w:rsid w:val="005F1880"/>
    <w:rsid w:val="005F52F8"/>
    <w:rsid w:val="005F54D2"/>
    <w:rsid w:val="00601D72"/>
    <w:rsid w:val="00604EDC"/>
    <w:rsid w:val="0060598B"/>
    <w:rsid w:val="006076CC"/>
    <w:rsid w:val="00607771"/>
    <w:rsid w:val="00607BA4"/>
    <w:rsid w:val="00610241"/>
    <w:rsid w:val="00621E44"/>
    <w:rsid w:val="006248F2"/>
    <w:rsid w:val="00635FAA"/>
    <w:rsid w:val="00636CED"/>
    <w:rsid w:val="006408A8"/>
    <w:rsid w:val="006419E9"/>
    <w:rsid w:val="0064471A"/>
    <w:rsid w:val="006447C2"/>
    <w:rsid w:val="006508BA"/>
    <w:rsid w:val="00651939"/>
    <w:rsid w:val="0065364B"/>
    <w:rsid w:val="00660A43"/>
    <w:rsid w:val="006612A3"/>
    <w:rsid w:val="0066356E"/>
    <w:rsid w:val="00664057"/>
    <w:rsid w:val="00665856"/>
    <w:rsid w:val="00670B4F"/>
    <w:rsid w:val="00674F28"/>
    <w:rsid w:val="00680AC2"/>
    <w:rsid w:val="00686887"/>
    <w:rsid w:val="00692DEB"/>
    <w:rsid w:val="006A276C"/>
    <w:rsid w:val="006B08D1"/>
    <w:rsid w:val="006B0E5C"/>
    <w:rsid w:val="006B2D2B"/>
    <w:rsid w:val="006B3133"/>
    <w:rsid w:val="006C0033"/>
    <w:rsid w:val="006C099E"/>
    <w:rsid w:val="006C13CD"/>
    <w:rsid w:val="006C1404"/>
    <w:rsid w:val="006C3146"/>
    <w:rsid w:val="006C41E6"/>
    <w:rsid w:val="006D0049"/>
    <w:rsid w:val="006D2A92"/>
    <w:rsid w:val="006D679B"/>
    <w:rsid w:val="006D778C"/>
    <w:rsid w:val="006E193B"/>
    <w:rsid w:val="006E21FF"/>
    <w:rsid w:val="006E362A"/>
    <w:rsid w:val="006E3A29"/>
    <w:rsid w:val="006E7CDA"/>
    <w:rsid w:val="006F0F1A"/>
    <w:rsid w:val="006F1072"/>
    <w:rsid w:val="006F30A2"/>
    <w:rsid w:val="006F5AB2"/>
    <w:rsid w:val="007036E5"/>
    <w:rsid w:val="00703EC4"/>
    <w:rsid w:val="00706504"/>
    <w:rsid w:val="007108F2"/>
    <w:rsid w:val="007148F6"/>
    <w:rsid w:val="00715FA4"/>
    <w:rsid w:val="00717939"/>
    <w:rsid w:val="00720B51"/>
    <w:rsid w:val="007212C5"/>
    <w:rsid w:val="0072302B"/>
    <w:rsid w:val="00723238"/>
    <w:rsid w:val="007255A9"/>
    <w:rsid w:val="0072605A"/>
    <w:rsid w:val="007263FE"/>
    <w:rsid w:val="007315DF"/>
    <w:rsid w:val="00733DB9"/>
    <w:rsid w:val="007370F2"/>
    <w:rsid w:val="00740AA2"/>
    <w:rsid w:val="007417A1"/>
    <w:rsid w:val="007424A8"/>
    <w:rsid w:val="00751E17"/>
    <w:rsid w:val="00755144"/>
    <w:rsid w:val="0075689E"/>
    <w:rsid w:val="00756AB1"/>
    <w:rsid w:val="0076033F"/>
    <w:rsid w:val="00761555"/>
    <w:rsid w:val="00761C72"/>
    <w:rsid w:val="00762DA1"/>
    <w:rsid w:val="00763239"/>
    <w:rsid w:val="00766E56"/>
    <w:rsid w:val="00775EDE"/>
    <w:rsid w:val="00783A48"/>
    <w:rsid w:val="00787B2F"/>
    <w:rsid w:val="00790020"/>
    <w:rsid w:val="00790B8F"/>
    <w:rsid w:val="00792BEA"/>
    <w:rsid w:val="0079301F"/>
    <w:rsid w:val="00795265"/>
    <w:rsid w:val="007A3494"/>
    <w:rsid w:val="007A3CDE"/>
    <w:rsid w:val="007B0F39"/>
    <w:rsid w:val="007B1A43"/>
    <w:rsid w:val="007B2BF0"/>
    <w:rsid w:val="007B6B7D"/>
    <w:rsid w:val="007B6DA5"/>
    <w:rsid w:val="007C1F97"/>
    <w:rsid w:val="007D46CE"/>
    <w:rsid w:val="007D7038"/>
    <w:rsid w:val="007D71FF"/>
    <w:rsid w:val="007D77D6"/>
    <w:rsid w:val="007D7D23"/>
    <w:rsid w:val="007E4663"/>
    <w:rsid w:val="007E5D4D"/>
    <w:rsid w:val="007E637B"/>
    <w:rsid w:val="007E77B9"/>
    <w:rsid w:val="007F01F6"/>
    <w:rsid w:val="007F0462"/>
    <w:rsid w:val="007F1485"/>
    <w:rsid w:val="007F2925"/>
    <w:rsid w:val="007F43E6"/>
    <w:rsid w:val="007F4D2F"/>
    <w:rsid w:val="007F6350"/>
    <w:rsid w:val="007F6A01"/>
    <w:rsid w:val="007F7444"/>
    <w:rsid w:val="0080256F"/>
    <w:rsid w:val="00803B61"/>
    <w:rsid w:val="0080742E"/>
    <w:rsid w:val="00811B08"/>
    <w:rsid w:val="008151DC"/>
    <w:rsid w:val="0081586E"/>
    <w:rsid w:val="00815FF6"/>
    <w:rsid w:val="00816101"/>
    <w:rsid w:val="00820016"/>
    <w:rsid w:val="008222B0"/>
    <w:rsid w:val="00833D67"/>
    <w:rsid w:val="00834DCC"/>
    <w:rsid w:val="00836838"/>
    <w:rsid w:val="00837E47"/>
    <w:rsid w:val="0084039A"/>
    <w:rsid w:val="00843D01"/>
    <w:rsid w:val="008543C4"/>
    <w:rsid w:val="00864D50"/>
    <w:rsid w:val="00866C9D"/>
    <w:rsid w:val="00877521"/>
    <w:rsid w:val="00877D4F"/>
    <w:rsid w:val="0088028D"/>
    <w:rsid w:val="008817C9"/>
    <w:rsid w:val="00883676"/>
    <w:rsid w:val="0088656D"/>
    <w:rsid w:val="00887673"/>
    <w:rsid w:val="0089068D"/>
    <w:rsid w:val="00891168"/>
    <w:rsid w:val="00895068"/>
    <w:rsid w:val="00896FB0"/>
    <w:rsid w:val="008A2EF6"/>
    <w:rsid w:val="008A428E"/>
    <w:rsid w:val="008A5074"/>
    <w:rsid w:val="008B0899"/>
    <w:rsid w:val="008B0C0A"/>
    <w:rsid w:val="008B13A0"/>
    <w:rsid w:val="008B1D6D"/>
    <w:rsid w:val="008B5706"/>
    <w:rsid w:val="008C5BA3"/>
    <w:rsid w:val="008D677F"/>
    <w:rsid w:val="008E18B2"/>
    <w:rsid w:val="008E2F96"/>
    <w:rsid w:val="008E396B"/>
    <w:rsid w:val="008E6518"/>
    <w:rsid w:val="008F56CB"/>
    <w:rsid w:val="008F679A"/>
    <w:rsid w:val="008F6938"/>
    <w:rsid w:val="008F7541"/>
    <w:rsid w:val="0090033B"/>
    <w:rsid w:val="00902412"/>
    <w:rsid w:val="00902A35"/>
    <w:rsid w:val="00906889"/>
    <w:rsid w:val="009140D2"/>
    <w:rsid w:val="00923DC3"/>
    <w:rsid w:val="009260BA"/>
    <w:rsid w:val="00930654"/>
    <w:rsid w:val="009319FF"/>
    <w:rsid w:val="00931F77"/>
    <w:rsid w:val="00933B86"/>
    <w:rsid w:val="00937378"/>
    <w:rsid w:val="0093784C"/>
    <w:rsid w:val="009409E2"/>
    <w:rsid w:val="009443D3"/>
    <w:rsid w:val="00950AB1"/>
    <w:rsid w:val="00952259"/>
    <w:rsid w:val="00962930"/>
    <w:rsid w:val="00964227"/>
    <w:rsid w:val="009648B5"/>
    <w:rsid w:val="00966B0A"/>
    <w:rsid w:val="009702C7"/>
    <w:rsid w:val="00970531"/>
    <w:rsid w:val="009744C2"/>
    <w:rsid w:val="009774B4"/>
    <w:rsid w:val="0098108E"/>
    <w:rsid w:val="00991D5E"/>
    <w:rsid w:val="00992057"/>
    <w:rsid w:val="009946EB"/>
    <w:rsid w:val="009962C3"/>
    <w:rsid w:val="009A3511"/>
    <w:rsid w:val="009A488F"/>
    <w:rsid w:val="009B09CC"/>
    <w:rsid w:val="009B2BAD"/>
    <w:rsid w:val="009B3B64"/>
    <w:rsid w:val="009B45B0"/>
    <w:rsid w:val="009B4EAD"/>
    <w:rsid w:val="009B7334"/>
    <w:rsid w:val="009C49EB"/>
    <w:rsid w:val="009D07FE"/>
    <w:rsid w:val="009D09C7"/>
    <w:rsid w:val="009D211D"/>
    <w:rsid w:val="009D56C9"/>
    <w:rsid w:val="009E1171"/>
    <w:rsid w:val="009E3FD6"/>
    <w:rsid w:val="009E5232"/>
    <w:rsid w:val="009F14A4"/>
    <w:rsid w:val="009F1A19"/>
    <w:rsid w:val="009F2F70"/>
    <w:rsid w:val="009F3999"/>
    <w:rsid w:val="009F7BC6"/>
    <w:rsid w:val="009F7C4D"/>
    <w:rsid w:val="009F7CCD"/>
    <w:rsid w:val="00A00D86"/>
    <w:rsid w:val="00A051ED"/>
    <w:rsid w:val="00A06855"/>
    <w:rsid w:val="00A07BCC"/>
    <w:rsid w:val="00A1042A"/>
    <w:rsid w:val="00A105A9"/>
    <w:rsid w:val="00A10EDD"/>
    <w:rsid w:val="00A1312E"/>
    <w:rsid w:val="00A14454"/>
    <w:rsid w:val="00A16896"/>
    <w:rsid w:val="00A2232D"/>
    <w:rsid w:val="00A24172"/>
    <w:rsid w:val="00A243DB"/>
    <w:rsid w:val="00A24C37"/>
    <w:rsid w:val="00A270F1"/>
    <w:rsid w:val="00A40EA6"/>
    <w:rsid w:val="00A50997"/>
    <w:rsid w:val="00A57C18"/>
    <w:rsid w:val="00A65E83"/>
    <w:rsid w:val="00A66B2F"/>
    <w:rsid w:val="00A71A2A"/>
    <w:rsid w:val="00A72153"/>
    <w:rsid w:val="00A72930"/>
    <w:rsid w:val="00A82368"/>
    <w:rsid w:val="00A847BF"/>
    <w:rsid w:val="00A8495A"/>
    <w:rsid w:val="00A857B5"/>
    <w:rsid w:val="00A90FA4"/>
    <w:rsid w:val="00A91C34"/>
    <w:rsid w:val="00A96D2D"/>
    <w:rsid w:val="00AA0849"/>
    <w:rsid w:val="00AA0F99"/>
    <w:rsid w:val="00AA1979"/>
    <w:rsid w:val="00AA1B54"/>
    <w:rsid w:val="00AA1E05"/>
    <w:rsid w:val="00AA6997"/>
    <w:rsid w:val="00AA7C50"/>
    <w:rsid w:val="00AB2D92"/>
    <w:rsid w:val="00AB7063"/>
    <w:rsid w:val="00AB7803"/>
    <w:rsid w:val="00AD17A5"/>
    <w:rsid w:val="00AD5422"/>
    <w:rsid w:val="00AD573D"/>
    <w:rsid w:val="00AE135B"/>
    <w:rsid w:val="00AE13D9"/>
    <w:rsid w:val="00AE2F48"/>
    <w:rsid w:val="00AE60DE"/>
    <w:rsid w:val="00AF2C2D"/>
    <w:rsid w:val="00AF3A6A"/>
    <w:rsid w:val="00B04DCF"/>
    <w:rsid w:val="00B05AE7"/>
    <w:rsid w:val="00B05F4F"/>
    <w:rsid w:val="00B07315"/>
    <w:rsid w:val="00B11906"/>
    <w:rsid w:val="00B12619"/>
    <w:rsid w:val="00B14204"/>
    <w:rsid w:val="00B150AD"/>
    <w:rsid w:val="00B23B7A"/>
    <w:rsid w:val="00B2638D"/>
    <w:rsid w:val="00B26EB1"/>
    <w:rsid w:val="00B35F29"/>
    <w:rsid w:val="00B371F4"/>
    <w:rsid w:val="00B425E2"/>
    <w:rsid w:val="00B42ED1"/>
    <w:rsid w:val="00B43F83"/>
    <w:rsid w:val="00B45B5E"/>
    <w:rsid w:val="00B52575"/>
    <w:rsid w:val="00B56401"/>
    <w:rsid w:val="00B61537"/>
    <w:rsid w:val="00B6332D"/>
    <w:rsid w:val="00B70C0F"/>
    <w:rsid w:val="00B74FA7"/>
    <w:rsid w:val="00B75006"/>
    <w:rsid w:val="00B76C6E"/>
    <w:rsid w:val="00B80B57"/>
    <w:rsid w:val="00B80DA1"/>
    <w:rsid w:val="00B9484D"/>
    <w:rsid w:val="00BA2672"/>
    <w:rsid w:val="00BA3534"/>
    <w:rsid w:val="00BA4090"/>
    <w:rsid w:val="00BA45F7"/>
    <w:rsid w:val="00BA4C8E"/>
    <w:rsid w:val="00BB0D27"/>
    <w:rsid w:val="00BC0F67"/>
    <w:rsid w:val="00BC1D6B"/>
    <w:rsid w:val="00BC5751"/>
    <w:rsid w:val="00BD0584"/>
    <w:rsid w:val="00BD1F62"/>
    <w:rsid w:val="00BD522A"/>
    <w:rsid w:val="00BE0109"/>
    <w:rsid w:val="00BE0938"/>
    <w:rsid w:val="00BE6621"/>
    <w:rsid w:val="00BF726C"/>
    <w:rsid w:val="00C01CB4"/>
    <w:rsid w:val="00C03EA0"/>
    <w:rsid w:val="00C16863"/>
    <w:rsid w:val="00C16E1A"/>
    <w:rsid w:val="00C2318A"/>
    <w:rsid w:val="00C27A99"/>
    <w:rsid w:val="00C34DF2"/>
    <w:rsid w:val="00C360CC"/>
    <w:rsid w:val="00C40E8E"/>
    <w:rsid w:val="00C46D40"/>
    <w:rsid w:val="00C50E8A"/>
    <w:rsid w:val="00C51D8E"/>
    <w:rsid w:val="00C60005"/>
    <w:rsid w:val="00C60DE2"/>
    <w:rsid w:val="00C6350C"/>
    <w:rsid w:val="00C761D4"/>
    <w:rsid w:val="00C76233"/>
    <w:rsid w:val="00C82D88"/>
    <w:rsid w:val="00C832CD"/>
    <w:rsid w:val="00C86519"/>
    <w:rsid w:val="00C91CDD"/>
    <w:rsid w:val="00C92A42"/>
    <w:rsid w:val="00C97047"/>
    <w:rsid w:val="00CA080A"/>
    <w:rsid w:val="00CA1C59"/>
    <w:rsid w:val="00CA3041"/>
    <w:rsid w:val="00CA3893"/>
    <w:rsid w:val="00CB4774"/>
    <w:rsid w:val="00CB492C"/>
    <w:rsid w:val="00CB7648"/>
    <w:rsid w:val="00CC01FC"/>
    <w:rsid w:val="00CC1ED3"/>
    <w:rsid w:val="00CC5D62"/>
    <w:rsid w:val="00CD010A"/>
    <w:rsid w:val="00CD10FE"/>
    <w:rsid w:val="00CD1BC9"/>
    <w:rsid w:val="00CD6802"/>
    <w:rsid w:val="00CE3480"/>
    <w:rsid w:val="00CE467C"/>
    <w:rsid w:val="00CE5D1F"/>
    <w:rsid w:val="00CE6828"/>
    <w:rsid w:val="00CF1B9A"/>
    <w:rsid w:val="00CF5FCB"/>
    <w:rsid w:val="00D0042E"/>
    <w:rsid w:val="00D022EB"/>
    <w:rsid w:val="00D0722A"/>
    <w:rsid w:val="00D120ED"/>
    <w:rsid w:val="00D134D1"/>
    <w:rsid w:val="00D17410"/>
    <w:rsid w:val="00D17986"/>
    <w:rsid w:val="00D22118"/>
    <w:rsid w:val="00D22C42"/>
    <w:rsid w:val="00D22E21"/>
    <w:rsid w:val="00D23E57"/>
    <w:rsid w:val="00D23FC3"/>
    <w:rsid w:val="00D3422B"/>
    <w:rsid w:val="00D34DB5"/>
    <w:rsid w:val="00D45BF8"/>
    <w:rsid w:val="00D51473"/>
    <w:rsid w:val="00D5690C"/>
    <w:rsid w:val="00D57AC9"/>
    <w:rsid w:val="00D61F3D"/>
    <w:rsid w:val="00D62393"/>
    <w:rsid w:val="00D64AB3"/>
    <w:rsid w:val="00D655B8"/>
    <w:rsid w:val="00D73E63"/>
    <w:rsid w:val="00D762D2"/>
    <w:rsid w:val="00D7706F"/>
    <w:rsid w:val="00D82D26"/>
    <w:rsid w:val="00D87E34"/>
    <w:rsid w:val="00D92C3A"/>
    <w:rsid w:val="00D92DF4"/>
    <w:rsid w:val="00D93C32"/>
    <w:rsid w:val="00D97A17"/>
    <w:rsid w:val="00DA2328"/>
    <w:rsid w:val="00DB1D1B"/>
    <w:rsid w:val="00DB3165"/>
    <w:rsid w:val="00DB6FCC"/>
    <w:rsid w:val="00DC0447"/>
    <w:rsid w:val="00DC33B7"/>
    <w:rsid w:val="00DC5F3D"/>
    <w:rsid w:val="00DD2E60"/>
    <w:rsid w:val="00DD328E"/>
    <w:rsid w:val="00DD436E"/>
    <w:rsid w:val="00DE2D00"/>
    <w:rsid w:val="00DE6179"/>
    <w:rsid w:val="00DE6E74"/>
    <w:rsid w:val="00DF26F5"/>
    <w:rsid w:val="00DF34AA"/>
    <w:rsid w:val="00DF38E5"/>
    <w:rsid w:val="00E00BF6"/>
    <w:rsid w:val="00E01DF3"/>
    <w:rsid w:val="00E06C7B"/>
    <w:rsid w:val="00E076BF"/>
    <w:rsid w:val="00E07C8E"/>
    <w:rsid w:val="00E11D5E"/>
    <w:rsid w:val="00E13815"/>
    <w:rsid w:val="00E13903"/>
    <w:rsid w:val="00E167A8"/>
    <w:rsid w:val="00E179F2"/>
    <w:rsid w:val="00E20D10"/>
    <w:rsid w:val="00E24A6E"/>
    <w:rsid w:val="00E25263"/>
    <w:rsid w:val="00E27825"/>
    <w:rsid w:val="00E31A15"/>
    <w:rsid w:val="00E322CF"/>
    <w:rsid w:val="00E4181A"/>
    <w:rsid w:val="00E4199A"/>
    <w:rsid w:val="00E42BFA"/>
    <w:rsid w:val="00E504C7"/>
    <w:rsid w:val="00E55275"/>
    <w:rsid w:val="00E5649E"/>
    <w:rsid w:val="00E6062B"/>
    <w:rsid w:val="00E61F0D"/>
    <w:rsid w:val="00E63C59"/>
    <w:rsid w:val="00E641E5"/>
    <w:rsid w:val="00E820FB"/>
    <w:rsid w:val="00E84577"/>
    <w:rsid w:val="00E86421"/>
    <w:rsid w:val="00E866B1"/>
    <w:rsid w:val="00E87786"/>
    <w:rsid w:val="00E91070"/>
    <w:rsid w:val="00E910C5"/>
    <w:rsid w:val="00E9330E"/>
    <w:rsid w:val="00E93FE1"/>
    <w:rsid w:val="00E944E5"/>
    <w:rsid w:val="00EA1881"/>
    <w:rsid w:val="00EA2CB9"/>
    <w:rsid w:val="00EA5011"/>
    <w:rsid w:val="00EB1C21"/>
    <w:rsid w:val="00EB2498"/>
    <w:rsid w:val="00EB6E94"/>
    <w:rsid w:val="00EC1153"/>
    <w:rsid w:val="00EC51EC"/>
    <w:rsid w:val="00ED19BA"/>
    <w:rsid w:val="00ED4282"/>
    <w:rsid w:val="00ED5D67"/>
    <w:rsid w:val="00ED5E98"/>
    <w:rsid w:val="00EE21DA"/>
    <w:rsid w:val="00EE325B"/>
    <w:rsid w:val="00EE42BB"/>
    <w:rsid w:val="00EE5850"/>
    <w:rsid w:val="00EF015A"/>
    <w:rsid w:val="00EF01E6"/>
    <w:rsid w:val="00EF11D6"/>
    <w:rsid w:val="00F00174"/>
    <w:rsid w:val="00F0153B"/>
    <w:rsid w:val="00F0336B"/>
    <w:rsid w:val="00F03F68"/>
    <w:rsid w:val="00F045BC"/>
    <w:rsid w:val="00F05636"/>
    <w:rsid w:val="00F12377"/>
    <w:rsid w:val="00F132A3"/>
    <w:rsid w:val="00F14F2B"/>
    <w:rsid w:val="00F166FF"/>
    <w:rsid w:val="00F16920"/>
    <w:rsid w:val="00F173B5"/>
    <w:rsid w:val="00F210D1"/>
    <w:rsid w:val="00F25760"/>
    <w:rsid w:val="00F26B55"/>
    <w:rsid w:val="00F26FFC"/>
    <w:rsid w:val="00F3022F"/>
    <w:rsid w:val="00F340B6"/>
    <w:rsid w:val="00F3492A"/>
    <w:rsid w:val="00F34A2D"/>
    <w:rsid w:val="00F426E9"/>
    <w:rsid w:val="00F47BDD"/>
    <w:rsid w:val="00F50BAD"/>
    <w:rsid w:val="00F55609"/>
    <w:rsid w:val="00F63C07"/>
    <w:rsid w:val="00F64E6E"/>
    <w:rsid w:val="00F722DA"/>
    <w:rsid w:val="00F734C7"/>
    <w:rsid w:val="00F76603"/>
    <w:rsid w:val="00F82908"/>
    <w:rsid w:val="00F85589"/>
    <w:rsid w:val="00F94A20"/>
    <w:rsid w:val="00F967BC"/>
    <w:rsid w:val="00F96884"/>
    <w:rsid w:val="00FA2B6A"/>
    <w:rsid w:val="00FB0CEE"/>
    <w:rsid w:val="00FB15FB"/>
    <w:rsid w:val="00FB2418"/>
    <w:rsid w:val="00FB413E"/>
    <w:rsid w:val="00FB4B7A"/>
    <w:rsid w:val="00FB701C"/>
    <w:rsid w:val="00FC0151"/>
    <w:rsid w:val="00FC106E"/>
    <w:rsid w:val="00FD1878"/>
    <w:rsid w:val="00FD4731"/>
    <w:rsid w:val="00FD5000"/>
    <w:rsid w:val="00FD77FF"/>
    <w:rsid w:val="00FE3031"/>
    <w:rsid w:val="00FE3EA4"/>
    <w:rsid w:val="00FE4C4B"/>
    <w:rsid w:val="00FF1084"/>
    <w:rsid w:val="00FF1E43"/>
    <w:rsid w:val="00FF7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4E1CFAF-5A7C-4CC5-A0AE-C44A0B93F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772C"/>
    <w:pPr>
      <w:jc w:val="both"/>
    </w:pPr>
    <w:rPr>
      <w:rFonts w:ascii="Arial" w:hAnsi="Arial"/>
      <w:color w:val="000000"/>
      <w:spacing w:val="-7"/>
      <w:sz w:val="22"/>
      <w:szCs w:val="22"/>
      <w:lang w:eastAsia="en-US"/>
    </w:rPr>
  </w:style>
  <w:style w:type="paragraph" w:styleId="Heading1">
    <w:name w:val="heading 1"/>
    <w:next w:val="Normal"/>
    <w:link w:val="Heading1Char"/>
    <w:qFormat/>
    <w:rsid w:val="00AA1B54"/>
    <w:pPr>
      <w:keepNext/>
      <w:numPr>
        <w:numId w:val="1"/>
      </w:numPr>
      <w:outlineLvl w:val="0"/>
    </w:pPr>
    <w:rPr>
      <w:rFonts w:ascii="Arial" w:hAnsi="Arial" w:cs="Arial"/>
      <w:b/>
      <w:bCs/>
      <w:caps/>
      <w:sz w:val="24"/>
      <w:szCs w:val="24"/>
      <w:lang w:eastAsia="en-US"/>
    </w:rPr>
  </w:style>
  <w:style w:type="paragraph" w:styleId="Heading2">
    <w:name w:val="heading 2"/>
    <w:basedOn w:val="Normal"/>
    <w:next w:val="Normal"/>
    <w:link w:val="Heading2Char"/>
    <w:autoRedefine/>
    <w:qFormat/>
    <w:rsid w:val="00063ABC"/>
    <w:pPr>
      <w:ind w:left="720" w:hanging="720"/>
      <w:jc w:val="left"/>
      <w:outlineLvl w:val="1"/>
    </w:pPr>
    <w:rPr>
      <w:rFonts w:cs="Arial"/>
      <w:b/>
      <w:szCs w:val="24"/>
    </w:rPr>
  </w:style>
  <w:style w:type="paragraph" w:styleId="Heading3">
    <w:name w:val="heading 3"/>
    <w:aliases w:val="Poicy sub heading,Poicy number"/>
    <w:basedOn w:val="Normal"/>
    <w:next w:val="Normal"/>
    <w:autoRedefine/>
    <w:qFormat/>
    <w:rsid w:val="00021F5C"/>
    <w:pPr>
      <w:keepNext/>
      <w:spacing w:before="120" w:after="120"/>
      <w:ind w:left="720" w:hanging="720"/>
      <w:jc w:val="left"/>
      <w:outlineLvl w:val="2"/>
    </w:pPr>
    <w:rPr>
      <w:b/>
      <w:iCs/>
      <w:sz w:val="24"/>
      <w:szCs w:val="24"/>
    </w:rPr>
  </w:style>
  <w:style w:type="paragraph" w:styleId="Heading4">
    <w:name w:val="heading 4"/>
    <w:basedOn w:val="Normal"/>
    <w:next w:val="Normal"/>
    <w:autoRedefine/>
    <w:qFormat/>
    <w:rsid w:val="0065364B"/>
    <w:pPr>
      <w:keepNext/>
      <w:numPr>
        <w:ilvl w:val="3"/>
        <w:numId w:val="1"/>
      </w:numPr>
      <w:shd w:val="clear" w:color="auto" w:fill="FFFFFF"/>
      <w:outlineLvl w:val="3"/>
    </w:pPr>
    <w:rPr>
      <w:rFonts w:ascii="Lucida Sans" w:hAnsi="Lucida Sans"/>
    </w:rPr>
  </w:style>
  <w:style w:type="paragraph" w:styleId="Heading5">
    <w:name w:val="heading 5"/>
    <w:basedOn w:val="Normal"/>
    <w:next w:val="Normal"/>
    <w:qFormat/>
    <w:pPr>
      <w:keepNext/>
      <w:numPr>
        <w:ilvl w:val="4"/>
        <w:numId w:val="1"/>
      </w:numPr>
      <w:jc w:val="right"/>
      <w:outlineLvl w:val="4"/>
    </w:pPr>
    <w:rPr>
      <w:b/>
      <w:sz w:val="32"/>
    </w:rPr>
  </w:style>
  <w:style w:type="paragraph" w:styleId="Heading6">
    <w:name w:val="heading 6"/>
    <w:basedOn w:val="Normal"/>
    <w:next w:val="Normal"/>
    <w:qFormat/>
    <w:pPr>
      <w:keepNext/>
      <w:numPr>
        <w:ilvl w:val="5"/>
        <w:numId w:val="1"/>
      </w:numPr>
      <w:jc w:val="center"/>
      <w:outlineLvl w:val="5"/>
    </w:pPr>
    <w:rPr>
      <w:b/>
      <w:sz w:val="40"/>
      <w:szCs w:val="40"/>
    </w:rPr>
  </w:style>
  <w:style w:type="paragraph" w:styleId="Heading7">
    <w:name w:val="heading 7"/>
    <w:basedOn w:val="Normal"/>
    <w:next w:val="Normal"/>
    <w:qFormat/>
    <w:pPr>
      <w:keepNext/>
      <w:numPr>
        <w:ilvl w:val="6"/>
        <w:numId w:val="1"/>
      </w:numPr>
      <w:jc w:val="center"/>
      <w:outlineLvl w:val="6"/>
    </w:pPr>
    <w:rPr>
      <w:b/>
      <w:caps/>
    </w:rPr>
  </w:style>
  <w:style w:type="paragraph" w:styleId="Heading8">
    <w:name w:val="heading 8"/>
    <w:basedOn w:val="Normal"/>
    <w:next w:val="Normal"/>
    <w:qFormat/>
    <w:pPr>
      <w:keepNext/>
      <w:numPr>
        <w:ilvl w:val="7"/>
        <w:numId w:val="1"/>
      </w:numPr>
      <w:jc w:val="left"/>
      <w:outlineLvl w:val="7"/>
    </w:pPr>
    <w:rPr>
      <w:rFonts w:cs="Arial"/>
      <w:b/>
    </w:rPr>
  </w:style>
  <w:style w:type="paragraph" w:styleId="Heading9">
    <w:name w:val="heading 9"/>
    <w:basedOn w:val="Normal"/>
    <w:next w:val="Normal"/>
    <w:qFormat/>
    <w:pPr>
      <w:keepNext/>
      <w:numPr>
        <w:ilvl w:val="8"/>
        <w:numId w:val="1"/>
      </w:numPr>
      <w:outlineLvl w:val="8"/>
    </w:pPr>
    <w:rPr>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CharChar2">
    <w:name w:val=" Char Char2"/>
    <w:rPr>
      <w:rFonts w:ascii="Arial" w:hAnsi="Arial" w:cs="Arial"/>
      <w:b/>
      <w:bCs/>
      <w:caps/>
      <w:noProof w:val="0"/>
      <w:sz w:val="24"/>
      <w:szCs w:val="24"/>
      <w:lang w:val="en-GB" w:eastAsia="en-US" w:bidi="ar-SA"/>
    </w:rPr>
  </w:style>
  <w:style w:type="paragraph" w:customStyle="1" w:styleId="DocumentDate">
    <w:name w:val="Document Date"/>
    <w:basedOn w:val="Subtitle"/>
    <w:pPr>
      <w:spacing w:after="240"/>
      <w:jc w:val="both"/>
      <w:outlineLvl w:val="9"/>
    </w:pPr>
    <w:rPr>
      <w:smallCaps/>
      <w:sz w:val="28"/>
      <w:szCs w:val="20"/>
    </w:rPr>
  </w:style>
  <w:style w:type="paragraph" w:styleId="Subtitle">
    <w:name w:val="Subtitle"/>
    <w:basedOn w:val="Normal"/>
    <w:qFormat/>
    <w:pPr>
      <w:spacing w:after="60"/>
      <w:jc w:val="center"/>
      <w:outlineLvl w:val="1"/>
    </w:pPr>
    <w:rPr>
      <w:rFonts w:cs="Arial"/>
      <w:szCs w:val="24"/>
    </w:rPr>
  </w:style>
  <w:style w:type="paragraph" w:customStyle="1" w:styleId="table">
    <w:name w:val="table"/>
    <w:basedOn w:val="Normal"/>
    <w:semiHidden/>
    <w:pPr>
      <w:spacing w:before="120" w:after="120"/>
    </w:pPr>
    <w:rPr>
      <w:rFonts w:ascii="Times New Roman" w:hAnsi="Times New Roman"/>
    </w:rPr>
  </w:style>
  <w:style w:type="paragraph" w:styleId="BodyText">
    <w:name w:val="Body Text"/>
    <w:aliases w:val="Body Text Char Char Char Char Char Char Char Char,Body Text Char Char Char Char Char Char"/>
    <w:basedOn w:val="Normal"/>
    <w:pPr>
      <w:jc w:val="center"/>
    </w:pPr>
    <w:rPr>
      <w:rFonts w:cs="Arial"/>
      <w:szCs w:val="24"/>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Header">
    <w:name w:val="header"/>
    <w:basedOn w:val="Normal"/>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2">
    <w:name w:val="Body Text 2"/>
    <w:aliases w:val="Body Text 2 Char Char Char Char"/>
    <w:basedOn w:val="Normal"/>
    <w:autoRedefine/>
    <w:pPr>
      <w:widowControl w:val="0"/>
      <w:tabs>
        <w:tab w:val="left" w:pos="-1080"/>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pPr>
    <w:rPr>
      <w:snapToGrid w:val="0"/>
      <w:szCs w:val="24"/>
      <w:lang w:val="en-US"/>
    </w:rPr>
  </w:style>
  <w:style w:type="paragraph" w:styleId="BodyTextIndent">
    <w:name w:val="Body Text Indent"/>
    <w:basedOn w:val="Normal"/>
    <w:pPr>
      <w:ind w:left="540" w:hanging="540"/>
    </w:pPr>
  </w:style>
  <w:style w:type="paragraph" w:styleId="BodyText3">
    <w:name w:val="Body Text 3"/>
    <w:basedOn w:val="Normal"/>
    <w:rPr>
      <w:rFonts w:cs="Arial"/>
    </w:rPr>
  </w:style>
  <w:style w:type="character" w:customStyle="1" w:styleId="BodyTextCharCharCharCharCharCharChar">
    <w:name w:val="Body Text Char Char Char Char Char Char Char"/>
    <w:rPr>
      <w:rFonts w:ascii="Arial" w:hAnsi="Arial" w:cs="Arial"/>
      <w:noProof w:val="0"/>
      <w:sz w:val="24"/>
      <w:szCs w:val="24"/>
      <w:lang w:val="en-GB" w:eastAsia="en-US" w:bidi="ar-SA"/>
    </w:rPr>
  </w:style>
  <w:style w:type="character" w:customStyle="1" w:styleId="BodyText2CharCharCharCharChar">
    <w:name w:val="Body Text 2 Char Char Char Char Char"/>
    <w:rPr>
      <w:rFonts w:ascii="Arial" w:hAnsi="Arial"/>
      <w:noProof w:val="0"/>
      <w:snapToGrid w:val="0"/>
      <w:sz w:val="24"/>
      <w:szCs w:val="24"/>
      <w:lang w:val="en-US" w:eastAsia="en-US" w:bidi="ar-SA"/>
    </w:rPr>
  </w:style>
  <w:style w:type="paragraph" w:styleId="BodyTextIndent2">
    <w:name w:val="Body Text Indent 2"/>
    <w:basedOn w:val="Normal"/>
    <w:pPr>
      <w:ind w:left="540" w:hanging="540"/>
      <w:jc w:val="left"/>
    </w:pPr>
  </w:style>
  <w:style w:type="paragraph" w:styleId="Caption">
    <w:name w:val="caption"/>
    <w:basedOn w:val="Normal"/>
    <w:next w:val="Normal"/>
    <w:qFormat/>
    <w:pPr>
      <w:jc w:val="center"/>
    </w:pPr>
    <w:rPr>
      <w:rFonts w:cs="Arial"/>
      <w:b/>
    </w:rPr>
  </w:style>
  <w:style w:type="paragraph" w:styleId="FootnoteText">
    <w:name w:val="footnote text"/>
    <w:basedOn w:val="Normal"/>
    <w:semiHidden/>
    <w:rPr>
      <w:sz w:val="20"/>
    </w:rPr>
  </w:style>
  <w:style w:type="character" w:styleId="FootnoteReference">
    <w:name w:val="footnote reference"/>
    <w:semiHidden/>
    <w:rPr>
      <w:rFonts w:ascii="Arial" w:hAnsi="Arial"/>
      <w:sz w:val="18"/>
      <w:szCs w:val="18"/>
      <w:vertAlign w:val="superscript"/>
    </w:rPr>
  </w:style>
  <w:style w:type="character" w:styleId="Strong">
    <w:name w:val="Strong"/>
    <w:qFormat/>
    <w:rPr>
      <w:b/>
      <w:bCs/>
    </w:rPr>
  </w:style>
  <w:style w:type="character" w:styleId="PageNumber">
    <w:name w:val="page number"/>
    <w:basedOn w:val="DefaultParagraphFont"/>
  </w:style>
  <w:style w:type="paragraph" w:customStyle="1" w:styleId="StyleHeading1Kernat14pt">
    <w:name w:val="Style Heading 1 + Kern at 14 pt"/>
    <w:basedOn w:val="Heading1"/>
    <w:pPr>
      <w:tabs>
        <w:tab w:val="left" w:pos="567"/>
      </w:tabs>
      <w:ind w:left="567" w:hanging="567"/>
    </w:pPr>
    <w:rPr>
      <w:kern w:val="28"/>
    </w:rPr>
  </w:style>
  <w:style w:type="character" w:customStyle="1" w:styleId="StyleHeading1Kernat14ptChar">
    <w:name w:val="Style Heading 1 + Kern at 14 pt Char"/>
    <w:rPr>
      <w:rFonts w:ascii="Arial" w:hAnsi="Arial" w:cs="Arial"/>
      <w:b/>
      <w:bCs/>
      <w:caps/>
      <w:noProof w:val="0"/>
      <w:kern w:val="28"/>
      <w:sz w:val="24"/>
      <w:szCs w:val="24"/>
      <w:lang w:val="en-GB" w:eastAsia="en-US" w:bidi="ar-SA"/>
    </w:rPr>
  </w:style>
  <w:style w:type="paragraph" w:styleId="TOC1">
    <w:name w:val="toc 1"/>
    <w:basedOn w:val="Normal"/>
    <w:next w:val="Normal"/>
    <w:autoRedefine/>
    <w:semiHidden/>
    <w:rsid w:val="00803B61"/>
    <w:pPr>
      <w:tabs>
        <w:tab w:val="left" w:pos="660"/>
        <w:tab w:val="left" w:pos="720"/>
        <w:tab w:val="right" w:pos="9628"/>
      </w:tabs>
      <w:spacing w:before="360"/>
      <w:ind w:left="720" w:hanging="720"/>
      <w:jc w:val="left"/>
    </w:pPr>
    <w:rPr>
      <w:rFonts w:cs="Arial"/>
      <w:b/>
      <w:bCs/>
      <w:caps/>
      <w:noProof/>
      <w:color w:val="auto"/>
      <w:sz w:val="24"/>
      <w:szCs w:val="24"/>
    </w:rPr>
  </w:style>
  <w:style w:type="character" w:styleId="Hyperlink">
    <w:name w:val="Hyperlink"/>
    <w:uiPriority w:val="99"/>
    <w:rPr>
      <w:color w:val="0000FF"/>
      <w:u w:val="single"/>
    </w:rPr>
  </w:style>
  <w:style w:type="paragraph" w:customStyle="1" w:styleId="StyleStyleHeading1Kernat14pt11ptChar">
    <w:name w:val="Style Style Heading 1 + Kern at 14 pt + 11 pt Char"/>
    <w:basedOn w:val="StyleHeading1Kernat14pt"/>
    <w:pPr>
      <w:ind w:left="709" w:hanging="539"/>
    </w:pPr>
  </w:style>
  <w:style w:type="character" w:customStyle="1" w:styleId="StyleStyleHeading1Kernat14pt11ptCharChar">
    <w:name w:val="Style Style Heading 1 + Kern at 14 pt + 11 pt Char Char"/>
    <w:basedOn w:val="StyleHeading1Kernat14ptChar"/>
    <w:rPr>
      <w:rFonts w:ascii="Arial" w:hAnsi="Arial" w:cs="Arial"/>
      <w:b/>
      <w:bCs/>
      <w:caps/>
      <w:noProof w:val="0"/>
      <w:kern w:val="28"/>
      <w:sz w:val="24"/>
      <w:szCs w:val="24"/>
      <w:lang w:val="en-GB" w:eastAsia="en-US" w:bidi="ar-SA"/>
    </w:rPr>
  </w:style>
  <w:style w:type="paragraph" w:styleId="DocumentMap">
    <w:name w:val="Document Map"/>
    <w:basedOn w:val="Normal"/>
    <w:semiHidden/>
    <w:rsid w:val="00E20D10"/>
    <w:pPr>
      <w:shd w:val="clear" w:color="auto" w:fill="000080"/>
    </w:pPr>
    <w:rPr>
      <w:rFonts w:ascii="Tahoma" w:hAnsi="Tahoma" w:cs="Tahoma"/>
      <w:sz w:val="20"/>
    </w:rPr>
  </w:style>
  <w:style w:type="paragraph" w:styleId="ListNumber">
    <w:name w:val="List Number"/>
    <w:basedOn w:val="Normal"/>
    <w:semiHidden/>
    <w:pPr>
      <w:tabs>
        <w:tab w:val="num" w:pos="680"/>
      </w:tabs>
      <w:ind w:left="397" w:hanging="397"/>
    </w:pPr>
    <w:rPr>
      <w:szCs w:val="24"/>
    </w:rPr>
  </w:style>
  <w:style w:type="paragraph" w:customStyle="1" w:styleId="StyleHeading412pt">
    <w:name w:val="Style Heading 4 + 12 pt"/>
    <w:basedOn w:val="Heading4"/>
    <w:rPr>
      <w:sz w:val="24"/>
      <w:szCs w:val="24"/>
    </w:rPr>
  </w:style>
  <w:style w:type="character" w:customStyle="1" w:styleId="CharChar">
    <w:name w:val=" Char Char"/>
    <w:rPr>
      <w:rFonts w:ascii="Lucida Sans" w:hAnsi="Lucida Sans" w:cs="Arial"/>
      <w:noProof w:val="0"/>
      <w:sz w:val="24"/>
      <w:szCs w:val="24"/>
      <w:lang w:val="en-GB" w:eastAsia="en-US" w:bidi="ar-SA"/>
    </w:rPr>
  </w:style>
  <w:style w:type="character" w:customStyle="1" w:styleId="StyleHeading412ptChar">
    <w:name w:val="Style Heading 4 + 12 pt Char"/>
    <w:rPr>
      <w:rFonts w:ascii="Lucida Sans" w:hAnsi="Lucida Sans" w:cs="Arial"/>
      <w:noProof w:val="0"/>
      <w:sz w:val="24"/>
      <w:szCs w:val="24"/>
      <w:lang w:val="en-GB" w:eastAsia="en-US" w:bidi="ar-SA"/>
    </w:rPr>
  </w:style>
  <w:style w:type="paragraph" w:styleId="TOC2">
    <w:name w:val="toc 2"/>
    <w:basedOn w:val="Normal"/>
    <w:next w:val="Normal"/>
    <w:autoRedefine/>
    <w:semiHidden/>
    <w:pPr>
      <w:spacing w:before="240"/>
      <w:jc w:val="left"/>
    </w:pPr>
    <w:rPr>
      <w:rFonts w:ascii="Times New Roman" w:hAnsi="Times New Roman"/>
      <w:b/>
      <w:bCs/>
      <w:sz w:val="20"/>
      <w:szCs w:val="20"/>
    </w:rPr>
  </w:style>
  <w:style w:type="character" w:customStyle="1" w:styleId="Heading2Char">
    <w:name w:val="Heading 2 Char"/>
    <w:link w:val="Heading2"/>
    <w:rsid w:val="00063ABC"/>
    <w:rPr>
      <w:rFonts w:ascii="Arial" w:hAnsi="Arial" w:cs="Arial"/>
      <w:b/>
      <w:color w:val="000000"/>
      <w:spacing w:val="-7"/>
      <w:sz w:val="22"/>
      <w:szCs w:val="24"/>
      <w:lang w:val="en-GB" w:eastAsia="en-US" w:bidi="ar-SA"/>
    </w:rPr>
  </w:style>
  <w:style w:type="character" w:customStyle="1" w:styleId="CharChar1">
    <w:name w:val=" Char Char1"/>
    <w:rPr>
      <w:rFonts w:ascii="Lucida Sans" w:hAnsi="Lucida Sans" w:cs="Arial"/>
      <w:b/>
      <w:noProof w:val="0"/>
      <w:sz w:val="24"/>
      <w:szCs w:val="24"/>
      <w:lang w:val="en-GB" w:eastAsia="en-US" w:bidi="ar-SA"/>
    </w:rPr>
  </w:style>
  <w:style w:type="paragraph" w:styleId="TOC3">
    <w:name w:val="toc 3"/>
    <w:basedOn w:val="Normal"/>
    <w:next w:val="Normal"/>
    <w:autoRedefine/>
    <w:semiHidden/>
    <w:pPr>
      <w:ind w:left="220"/>
      <w:jc w:val="left"/>
    </w:pPr>
    <w:rPr>
      <w:rFonts w:ascii="Times New Roman" w:hAnsi="Times New Roman"/>
      <w:sz w:val="20"/>
      <w:szCs w:val="20"/>
    </w:rPr>
  </w:style>
  <w:style w:type="paragraph" w:styleId="TOC4">
    <w:name w:val="toc 4"/>
    <w:basedOn w:val="Normal"/>
    <w:next w:val="Normal"/>
    <w:autoRedefine/>
    <w:semiHidden/>
    <w:pPr>
      <w:ind w:left="440"/>
      <w:jc w:val="left"/>
    </w:pPr>
    <w:rPr>
      <w:rFonts w:ascii="Times New Roman" w:hAnsi="Times New Roman"/>
      <w:sz w:val="20"/>
      <w:szCs w:val="20"/>
    </w:rPr>
  </w:style>
  <w:style w:type="paragraph" w:styleId="TOC5">
    <w:name w:val="toc 5"/>
    <w:basedOn w:val="Normal"/>
    <w:next w:val="Normal"/>
    <w:autoRedefine/>
    <w:semiHidden/>
    <w:pPr>
      <w:ind w:left="660"/>
      <w:jc w:val="left"/>
    </w:pPr>
    <w:rPr>
      <w:rFonts w:ascii="Times New Roman" w:hAnsi="Times New Roman"/>
      <w:sz w:val="20"/>
      <w:szCs w:val="20"/>
    </w:rPr>
  </w:style>
  <w:style w:type="paragraph" w:styleId="TOC6">
    <w:name w:val="toc 6"/>
    <w:basedOn w:val="Normal"/>
    <w:next w:val="Normal"/>
    <w:autoRedefine/>
    <w:semiHidden/>
    <w:pPr>
      <w:ind w:left="880"/>
      <w:jc w:val="left"/>
    </w:pPr>
    <w:rPr>
      <w:rFonts w:ascii="Times New Roman" w:hAnsi="Times New Roman"/>
      <w:sz w:val="20"/>
      <w:szCs w:val="20"/>
    </w:rPr>
  </w:style>
  <w:style w:type="paragraph" w:styleId="TOC7">
    <w:name w:val="toc 7"/>
    <w:basedOn w:val="Normal"/>
    <w:next w:val="Normal"/>
    <w:autoRedefine/>
    <w:semiHidden/>
    <w:pPr>
      <w:ind w:left="1100"/>
      <w:jc w:val="left"/>
    </w:pPr>
    <w:rPr>
      <w:rFonts w:ascii="Times New Roman" w:hAnsi="Times New Roman"/>
      <w:sz w:val="20"/>
      <w:szCs w:val="20"/>
    </w:rPr>
  </w:style>
  <w:style w:type="paragraph" w:styleId="TOC8">
    <w:name w:val="toc 8"/>
    <w:basedOn w:val="Normal"/>
    <w:next w:val="Normal"/>
    <w:autoRedefine/>
    <w:semiHidden/>
    <w:pPr>
      <w:ind w:left="1320"/>
      <w:jc w:val="left"/>
    </w:pPr>
    <w:rPr>
      <w:rFonts w:ascii="Times New Roman" w:hAnsi="Times New Roman"/>
      <w:sz w:val="20"/>
      <w:szCs w:val="20"/>
    </w:rPr>
  </w:style>
  <w:style w:type="paragraph" w:styleId="TOC9">
    <w:name w:val="toc 9"/>
    <w:basedOn w:val="Normal"/>
    <w:next w:val="Normal"/>
    <w:autoRedefine/>
    <w:semiHidden/>
    <w:pPr>
      <w:ind w:left="1540"/>
      <w:jc w:val="left"/>
    </w:pPr>
    <w:rPr>
      <w:rFonts w:ascii="Times New Roman" w:hAnsi="Times New Roman"/>
      <w:sz w:val="20"/>
      <w:szCs w:val="20"/>
    </w:rPr>
  </w:style>
  <w:style w:type="table" w:styleId="TableGrid">
    <w:name w:val="Table Grid"/>
    <w:basedOn w:val="TableNormal"/>
    <w:uiPriority w:val="59"/>
    <w:rsid w:val="009B7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maintext">
    <w:name w:val="arial main text"/>
    <w:basedOn w:val="Normal"/>
    <w:rsid w:val="009B7334"/>
    <w:pPr>
      <w:suppressAutoHyphens/>
      <w:autoSpaceDE w:val="0"/>
      <w:autoSpaceDN w:val="0"/>
      <w:adjustRightInd w:val="0"/>
      <w:spacing w:line="288" w:lineRule="auto"/>
      <w:jc w:val="left"/>
      <w:textAlignment w:val="center"/>
    </w:pPr>
    <w:rPr>
      <w:rFonts w:cs="Arial"/>
      <w:szCs w:val="24"/>
    </w:rPr>
  </w:style>
  <w:style w:type="paragraph" w:styleId="BalloonText">
    <w:name w:val="Balloon Text"/>
    <w:basedOn w:val="Normal"/>
    <w:semiHidden/>
    <w:rsid w:val="009F14A4"/>
    <w:rPr>
      <w:rFonts w:ascii="Tahoma" w:hAnsi="Tahoma" w:cs="Tahoma"/>
      <w:sz w:val="16"/>
      <w:szCs w:val="16"/>
    </w:rPr>
  </w:style>
  <w:style w:type="paragraph" w:customStyle="1" w:styleId="Heading2policy">
    <w:name w:val="Heading 2 policy"/>
    <w:basedOn w:val="Normal"/>
    <w:rsid w:val="00937378"/>
    <w:rPr>
      <w:b/>
    </w:rPr>
  </w:style>
  <w:style w:type="paragraph" w:styleId="NormalWeb">
    <w:name w:val="Normal (Web)"/>
    <w:basedOn w:val="Normal"/>
    <w:rsid w:val="00182B68"/>
    <w:pPr>
      <w:spacing w:before="100" w:beforeAutospacing="1" w:after="100" w:afterAutospacing="1"/>
      <w:jc w:val="left"/>
    </w:pPr>
    <w:rPr>
      <w:rFonts w:ascii="Times New Roman" w:hAnsi="Times New Roman"/>
      <w:szCs w:val="24"/>
      <w:lang w:val="en-US"/>
    </w:rPr>
  </w:style>
  <w:style w:type="paragraph" w:customStyle="1" w:styleId="heading20">
    <w:name w:val="heading 2"/>
    <w:basedOn w:val="Heading1"/>
    <w:autoRedefine/>
    <w:rsid w:val="001D5233"/>
    <w:pPr>
      <w:numPr>
        <w:numId w:val="0"/>
      </w:numPr>
      <w:spacing w:line="276" w:lineRule="auto"/>
      <w:jc w:val="both"/>
    </w:pPr>
    <w:rPr>
      <w:rFonts w:cs="Times New Roman"/>
      <w:b w:val="0"/>
      <w:caps w:val="0"/>
      <w:sz w:val="22"/>
      <w:szCs w:val="22"/>
    </w:rPr>
  </w:style>
  <w:style w:type="paragraph" w:customStyle="1" w:styleId="Style1">
    <w:name w:val="Style1"/>
    <w:basedOn w:val="heading20"/>
    <w:autoRedefine/>
    <w:rsid w:val="008B5706"/>
  </w:style>
  <w:style w:type="paragraph" w:customStyle="1" w:styleId="Policyheading">
    <w:name w:val="Policy heading"/>
    <w:basedOn w:val="Normal"/>
    <w:rsid w:val="00AD5422"/>
    <w:pPr>
      <w:jc w:val="center"/>
    </w:pPr>
    <w:rPr>
      <w:rFonts w:cs="Arial"/>
      <w:bCs/>
      <w:spacing w:val="0"/>
      <w:sz w:val="36"/>
      <w:szCs w:val="24"/>
    </w:rPr>
  </w:style>
  <w:style w:type="paragraph" w:customStyle="1" w:styleId="Policybody">
    <w:name w:val="Policy body"/>
    <w:basedOn w:val="Normal"/>
    <w:autoRedefine/>
    <w:rsid w:val="00443230"/>
    <w:pPr>
      <w:ind w:left="567" w:hanging="720"/>
    </w:pPr>
    <w:rPr>
      <w:rFonts w:cs="Arial"/>
      <w:b/>
      <w:spacing w:val="0"/>
      <w:sz w:val="24"/>
      <w:szCs w:val="24"/>
    </w:rPr>
  </w:style>
  <w:style w:type="paragraph" w:styleId="Title">
    <w:name w:val="Title"/>
    <w:basedOn w:val="Normal"/>
    <w:qFormat/>
    <w:rsid w:val="00864D50"/>
    <w:pPr>
      <w:jc w:val="center"/>
    </w:pPr>
    <w:rPr>
      <w:bCs/>
      <w:i/>
      <w:color w:val="auto"/>
      <w:spacing w:val="0"/>
      <w:sz w:val="24"/>
      <w:szCs w:val="24"/>
    </w:rPr>
  </w:style>
  <w:style w:type="paragraph" w:customStyle="1" w:styleId="Policyheading2">
    <w:name w:val="Policy heading 2"/>
    <w:basedOn w:val="Heading1"/>
    <w:autoRedefine/>
    <w:rsid w:val="00CE5D1F"/>
    <w:pPr>
      <w:numPr>
        <w:numId w:val="0"/>
      </w:numPr>
    </w:pPr>
    <w:rPr>
      <w:rFonts w:cs="Times New Roman"/>
      <w:caps w:val="0"/>
      <w:sz w:val="22"/>
      <w:szCs w:val="20"/>
    </w:rPr>
  </w:style>
  <w:style w:type="paragraph" w:customStyle="1" w:styleId="Textbodt">
    <w:name w:val="Text bodt"/>
    <w:basedOn w:val="Normal"/>
    <w:autoRedefine/>
    <w:rsid w:val="0010439F"/>
    <w:pPr>
      <w:spacing w:after="160" w:line="240" w:lineRule="exact"/>
    </w:pPr>
    <w:rPr>
      <w:lang w:val="en-US"/>
    </w:rPr>
  </w:style>
  <w:style w:type="character" w:styleId="FollowedHyperlink">
    <w:name w:val="FollowedHyperlink"/>
    <w:rsid w:val="00CC01FC"/>
    <w:rPr>
      <w:color w:val="800080"/>
      <w:u w:val="single"/>
    </w:rPr>
  </w:style>
  <w:style w:type="paragraph" w:customStyle="1" w:styleId="CharCharCharCharCharCharCharCharCharCharCharCharCharCharCharChar">
    <w:name w:val=" Char Char Char Char Char Char Char Char Char Char Char Char Char Char Char Char"/>
    <w:basedOn w:val="Normal"/>
    <w:next w:val="BodyText2"/>
    <w:rsid w:val="006C099E"/>
    <w:pPr>
      <w:jc w:val="left"/>
    </w:pPr>
    <w:rPr>
      <w:rFonts w:eastAsia="SimSun"/>
      <w:color w:val="auto"/>
      <w:spacing w:val="0"/>
      <w:sz w:val="18"/>
      <w:szCs w:val="18"/>
      <w:lang w:eastAsia="zh-CN"/>
    </w:rPr>
  </w:style>
  <w:style w:type="paragraph" w:customStyle="1" w:styleId="policybody0">
    <w:name w:val="policybody"/>
    <w:basedOn w:val="Normal"/>
    <w:rsid w:val="00A1312E"/>
    <w:pPr>
      <w:jc w:val="left"/>
    </w:pPr>
    <w:rPr>
      <w:rFonts w:cs="Arial"/>
      <w:spacing w:val="0"/>
      <w:lang w:eastAsia="en-GB"/>
    </w:rPr>
  </w:style>
  <w:style w:type="character" w:styleId="CommentReference">
    <w:name w:val="annotation reference"/>
    <w:rsid w:val="00B80B57"/>
    <w:rPr>
      <w:sz w:val="16"/>
      <w:szCs w:val="16"/>
    </w:rPr>
  </w:style>
  <w:style w:type="paragraph" w:styleId="CommentText">
    <w:name w:val="annotation text"/>
    <w:basedOn w:val="Normal"/>
    <w:link w:val="CommentTextChar"/>
    <w:rsid w:val="00B80B57"/>
    <w:rPr>
      <w:sz w:val="20"/>
      <w:szCs w:val="20"/>
    </w:rPr>
  </w:style>
  <w:style w:type="character" w:customStyle="1" w:styleId="CommentTextChar">
    <w:name w:val="Comment Text Char"/>
    <w:link w:val="CommentText"/>
    <w:rsid w:val="00B80B57"/>
    <w:rPr>
      <w:rFonts w:ascii="Arial" w:hAnsi="Arial"/>
      <w:color w:val="000000"/>
      <w:spacing w:val="-7"/>
      <w:lang w:eastAsia="en-US"/>
    </w:rPr>
  </w:style>
  <w:style w:type="paragraph" w:styleId="CommentSubject">
    <w:name w:val="annotation subject"/>
    <w:basedOn w:val="CommentText"/>
    <w:next w:val="CommentText"/>
    <w:link w:val="CommentSubjectChar"/>
    <w:rsid w:val="00B80B57"/>
    <w:rPr>
      <w:b/>
      <w:bCs/>
    </w:rPr>
  </w:style>
  <w:style w:type="character" w:customStyle="1" w:styleId="CommentSubjectChar">
    <w:name w:val="Comment Subject Char"/>
    <w:link w:val="CommentSubject"/>
    <w:rsid w:val="00B80B57"/>
    <w:rPr>
      <w:rFonts w:ascii="Arial" w:hAnsi="Arial"/>
      <w:b/>
      <w:bCs/>
      <w:color w:val="000000"/>
      <w:spacing w:val="-7"/>
      <w:lang w:eastAsia="en-US"/>
    </w:rPr>
  </w:style>
  <w:style w:type="character" w:customStyle="1" w:styleId="Heading1Char">
    <w:name w:val="Heading 1 Char"/>
    <w:link w:val="Heading1"/>
    <w:rsid w:val="00665856"/>
    <w:rPr>
      <w:rFonts w:ascii="Arial" w:hAnsi="Arial" w:cs="Arial"/>
      <w:b/>
      <w:bCs/>
      <w:caps/>
      <w:sz w:val="24"/>
      <w:szCs w:val="24"/>
      <w:lang w:eastAsia="en-US"/>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F12377"/>
    <w:pPr>
      <w:ind w:left="720"/>
    </w:pPr>
  </w:style>
  <w:style w:type="character" w:styleId="UnresolvedMention">
    <w:name w:val="Unresolved Mention"/>
    <w:uiPriority w:val="99"/>
    <w:semiHidden/>
    <w:unhideWhenUsed/>
    <w:rsid w:val="009140D2"/>
    <w:rPr>
      <w:color w:val="605E5C"/>
      <w:shd w:val="clear" w:color="auto" w:fill="E1DFDD"/>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AA0849"/>
    <w:rPr>
      <w:rFonts w:ascii="Arial" w:hAnsi="Arial"/>
      <w:color w:val="000000"/>
      <w:spacing w:val="-7"/>
      <w:sz w:val="22"/>
      <w:szCs w:val="22"/>
      <w:lang w:eastAsia="en-US"/>
    </w:rPr>
  </w:style>
  <w:style w:type="character" w:styleId="IntenseReference">
    <w:name w:val="Intense Reference"/>
    <w:uiPriority w:val="32"/>
    <w:qFormat/>
    <w:rsid w:val="00A07BCC"/>
    <w:rPr>
      <w:b/>
      <w:bCs/>
      <w:smallCaps/>
      <w:color w:val="4472C4"/>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43008">
      <w:bodyDiv w:val="1"/>
      <w:marLeft w:val="0"/>
      <w:marRight w:val="0"/>
      <w:marTop w:val="0"/>
      <w:marBottom w:val="0"/>
      <w:divBdr>
        <w:top w:val="none" w:sz="0" w:space="0" w:color="auto"/>
        <w:left w:val="none" w:sz="0" w:space="0" w:color="auto"/>
        <w:bottom w:val="none" w:sz="0" w:space="0" w:color="auto"/>
        <w:right w:val="none" w:sz="0" w:space="0" w:color="auto"/>
      </w:divBdr>
    </w:div>
    <w:div w:id="618529471">
      <w:bodyDiv w:val="1"/>
      <w:marLeft w:val="0"/>
      <w:marRight w:val="0"/>
      <w:marTop w:val="0"/>
      <w:marBottom w:val="0"/>
      <w:divBdr>
        <w:top w:val="none" w:sz="0" w:space="0" w:color="auto"/>
        <w:left w:val="none" w:sz="0" w:space="0" w:color="auto"/>
        <w:bottom w:val="none" w:sz="0" w:space="0" w:color="auto"/>
        <w:right w:val="none" w:sz="0" w:space="0" w:color="auto"/>
      </w:divBdr>
    </w:div>
    <w:div w:id="1357122335">
      <w:bodyDiv w:val="1"/>
      <w:marLeft w:val="0"/>
      <w:marRight w:val="0"/>
      <w:marTop w:val="0"/>
      <w:marBottom w:val="0"/>
      <w:divBdr>
        <w:top w:val="none" w:sz="0" w:space="0" w:color="auto"/>
        <w:left w:val="none" w:sz="0" w:space="0" w:color="auto"/>
        <w:bottom w:val="none" w:sz="0" w:space="0" w:color="auto"/>
        <w:right w:val="none" w:sz="0" w:space="0" w:color="auto"/>
      </w:divBdr>
    </w:div>
    <w:div w:id="1661040788">
      <w:bodyDiv w:val="1"/>
      <w:marLeft w:val="0"/>
      <w:marRight w:val="0"/>
      <w:marTop w:val="0"/>
      <w:marBottom w:val="0"/>
      <w:divBdr>
        <w:top w:val="none" w:sz="0" w:space="0" w:color="auto"/>
        <w:left w:val="none" w:sz="0" w:space="0" w:color="auto"/>
        <w:bottom w:val="none" w:sz="0" w:space="0" w:color="auto"/>
        <w:right w:val="none" w:sz="0" w:space="0" w:color="auto"/>
      </w:divBdr>
    </w:div>
    <w:div w:id="173218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flo.kentcht.nhs.uk/Interact/Pages/Content/Document.aspx?id=13926&amp;SearchId=11695297&amp;utm_source=interact&amp;utm_medium=quick_search&amp;utm_term=patient+safety" TargetMode="External"/><Relationship Id="rId13" Type="http://schemas.openxmlformats.org/officeDocument/2006/relationships/hyperlink" Target="https://flo.kentcht.nhs.uk/Interact/Pages/Content/Document.aspx?id=1282&amp;SearchId=2428348" TargetMode="External"/><Relationship Id="rId18" Type="http://schemas.openxmlformats.org/officeDocument/2006/relationships/footer" Target="footer1.xm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www.england.nhs.uk/patient-safety/revised-never-events-policy-and-framework/" TargetMode="External"/><Relationship Id="rId17" Type="http://schemas.openxmlformats.org/officeDocument/2006/relationships/header" Target="header1.xm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o.kentcht.nhs.uk/Interact/Pages/Content/Document.aspx?id=15033&amp;SearchId=11697037&amp;utm_source=interact&amp;utm_medium=general_search&amp;utm_term=psip"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flo.kentcht.nhs.uk/page/9684?SearchId=12833537" TargetMode="Externa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hyperlink" Target="https://flo.kentcht.nhs.uk/Interact/Pages/Content/Document.aspx?id=2100&amp;SearchId=2247258"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flo.kentcht.nhs.uk/Interact/Pages/Content/Document.aspx?id=2100&amp;SearchId=2247258" TargetMode="External"/><Relationship Id="rId14" Type="http://schemas.openxmlformats.org/officeDocument/2006/relationships/hyperlink" Target="https://www.england.nhs.uk/patient-safety/a-just-culture-guide/" TargetMode="External"/><Relationship Id="rId22" Type="http://schemas.openxmlformats.org/officeDocument/2006/relationships/image" Target="media/image4.png"/><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3DE7B-4F88-496E-B158-C62BF4CA1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4770</Words>
  <Characters>27189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lpstr>
    </vt:vector>
  </TitlesOfParts>
  <Company>NHS</Company>
  <LinksUpToDate>false</LinksUpToDate>
  <CharactersWithSpaces>31896</CharactersWithSpaces>
  <SharedDoc>false</SharedDoc>
  <HLinks>
    <vt:vector size="48" baseType="variant">
      <vt:variant>
        <vt:i4>3473460</vt:i4>
      </vt:variant>
      <vt:variant>
        <vt:i4>21</vt:i4>
      </vt:variant>
      <vt:variant>
        <vt:i4>0</vt:i4>
      </vt:variant>
      <vt:variant>
        <vt:i4>5</vt:i4>
      </vt:variant>
      <vt:variant>
        <vt:lpwstr>https://flo.kentcht.nhs.uk/page/9684?SearchId=12833537</vt:lpwstr>
      </vt:variant>
      <vt:variant>
        <vt:lpwstr/>
      </vt:variant>
      <vt:variant>
        <vt:i4>2359340</vt:i4>
      </vt:variant>
      <vt:variant>
        <vt:i4>18</vt:i4>
      </vt:variant>
      <vt:variant>
        <vt:i4>0</vt:i4>
      </vt:variant>
      <vt:variant>
        <vt:i4>5</vt:i4>
      </vt:variant>
      <vt:variant>
        <vt:lpwstr>https://www.england.nhs.uk/patient-safety/a-just-culture-guide/</vt:lpwstr>
      </vt:variant>
      <vt:variant>
        <vt:lpwstr/>
      </vt:variant>
      <vt:variant>
        <vt:i4>327698</vt:i4>
      </vt:variant>
      <vt:variant>
        <vt:i4>15</vt:i4>
      </vt:variant>
      <vt:variant>
        <vt:i4>0</vt:i4>
      </vt:variant>
      <vt:variant>
        <vt:i4>5</vt:i4>
      </vt:variant>
      <vt:variant>
        <vt:lpwstr>https://flo.kentcht.nhs.uk/Interact/Pages/Content/Document.aspx?id=1282&amp;SearchId=2428348</vt:lpwstr>
      </vt:variant>
      <vt:variant>
        <vt:lpwstr/>
      </vt:variant>
      <vt:variant>
        <vt:i4>5898250</vt:i4>
      </vt:variant>
      <vt:variant>
        <vt:i4>12</vt:i4>
      </vt:variant>
      <vt:variant>
        <vt:i4>0</vt:i4>
      </vt:variant>
      <vt:variant>
        <vt:i4>5</vt:i4>
      </vt:variant>
      <vt:variant>
        <vt:lpwstr>https://www.england.nhs.uk/patient-safety/revised-never-events-policy-and-framework/</vt:lpwstr>
      </vt:variant>
      <vt:variant>
        <vt:lpwstr/>
      </vt:variant>
      <vt:variant>
        <vt:i4>4456536</vt:i4>
      </vt:variant>
      <vt:variant>
        <vt:i4>9</vt:i4>
      </vt:variant>
      <vt:variant>
        <vt:i4>0</vt:i4>
      </vt:variant>
      <vt:variant>
        <vt:i4>5</vt:i4>
      </vt:variant>
      <vt:variant>
        <vt:lpwstr>https://flo.kentcht.nhs.uk/Interact/Pages/Content/Document.aspx?id=15033&amp;SearchId=11697037&amp;utm_source=interact&amp;utm_medium=general_search&amp;utm_term=psip</vt:lpwstr>
      </vt:variant>
      <vt:variant>
        <vt:lpwstr/>
      </vt:variant>
      <vt:variant>
        <vt:i4>589851</vt:i4>
      </vt:variant>
      <vt:variant>
        <vt:i4>6</vt:i4>
      </vt:variant>
      <vt:variant>
        <vt:i4>0</vt:i4>
      </vt:variant>
      <vt:variant>
        <vt:i4>5</vt:i4>
      </vt:variant>
      <vt:variant>
        <vt:lpwstr>https://flo.kentcht.nhs.uk/Interact/Pages/Content/Document.aspx?id=2100&amp;SearchId=2247258</vt:lpwstr>
      </vt:variant>
      <vt:variant>
        <vt:lpwstr/>
      </vt:variant>
      <vt:variant>
        <vt:i4>589851</vt:i4>
      </vt:variant>
      <vt:variant>
        <vt:i4>3</vt:i4>
      </vt:variant>
      <vt:variant>
        <vt:i4>0</vt:i4>
      </vt:variant>
      <vt:variant>
        <vt:i4>5</vt:i4>
      </vt:variant>
      <vt:variant>
        <vt:lpwstr>https://flo.kentcht.nhs.uk/Interact/Pages/Content/Document.aspx?id=2100&amp;SearchId=2247258</vt:lpwstr>
      </vt:variant>
      <vt:variant>
        <vt:lpwstr/>
      </vt:variant>
      <vt:variant>
        <vt:i4>917598</vt:i4>
      </vt:variant>
      <vt:variant>
        <vt:i4>0</vt:i4>
      </vt:variant>
      <vt:variant>
        <vt:i4>0</vt:i4>
      </vt:variant>
      <vt:variant>
        <vt:i4>5</vt:i4>
      </vt:variant>
      <vt:variant>
        <vt:lpwstr>https://flo.kentcht.nhs.uk/Interact/Pages/Content/Document.aspx?id=13926&amp;SearchId=11695297&amp;utm_source=interact&amp;utm_medium=quick_search&amp;utm_term=patient+safety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Crouch Andrew</cp:lastModifiedBy>
  <cp:revision>2</cp:revision>
  <cp:lastPrinted>2013-10-18T14:51:00Z</cp:lastPrinted>
  <dcterms:created xsi:type="dcterms:W3CDTF">2024-02-08T10:00:00Z</dcterms:created>
  <dcterms:modified xsi:type="dcterms:W3CDTF">2024-02-08T10:00:00Z</dcterms:modified>
</cp:coreProperties>
</file>