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741D" w:rsidRDefault="0074741D" w:rsidP="00E26B42">
      <w:pPr>
        <w:jc w:val="right"/>
      </w:pPr>
      <w:bookmarkStart w:id="0" w:name="_GoBack"/>
      <w:bookmarkEnd w:id="0"/>
    </w:p>
    <w:p w:rsidR="00562D8F" w:rsidRDefault="00562D8F" w:rsidP="00562D8F">
      <w:pPr>
        <w:jc w:val="right"/>
      </w:pP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shd w:val="clear" w:color="auto" w:fill="B3B3B3"/>
        <w:tblLook w:val="01E0" w:firstRow="1" w:lastRow="1" w:firstColumn="1" w:lastColumn="1" w:noHBand="0" w:noVBand="0"/>
      </w:tblPr>
      <w:tblGrid>
        <w:gridCol w:w="9108"/>
      </w:tblGrid>
      <w:tr w:rsidR="00562D8F" w:rsidTr="00D926A5">
        <w:tc>
          <w:tcPr>
            <w:tcW w:w="9108" w:type="dxa"/>
            <w:shd w:val="clear" w:color="auto" w:fill="B3B3B3"/>
          </w:tcPr>
          <w:p w:rsidR="00562D8F" w:rsidRDefault="00562D8F" w:rsidP="00562D8F"/>
          <w:p w:rsidR="007C133F" w:rsidRPr="007C133F" w:rsidRDefault="007C133F" w:rsidP="007C133F">
            <w:pPr>
              <w:spacing w:after="200" w:line="276" w:lineRule="auto"/>
              <w:jc w:val="center"/>
              <w:rPr>
                <w:rFonts w:ascii="Arial" w:eastAsia="Calibri" w:hAnsi="Arial" w:cs="Arial"/>
                <w:b/>
                <w:lang w:eastAsia="en-US"/>
              </w:rPr>
            </w:pPr>
            <w:r w:rsidRPr="007C133F">
              <w:rPr>
                <w:rFonts w:ascii="Arial" w:eastAsia="Calibri" w:hAnsi="Arial" w:cs="Arial"/>
                <w:b/>
                <w:lang w:eastAsia="en-US"/>
              </w:rPr>
              <w:t>Gender Pay Gap</w:t>
            </w:r>
          </w:p>
          <w:p w:rsidR="00562D8F" w:rsidRPr="00D926A5" w:rsidRDefault="00562D8F" w:rsidP="007C133F">
            <w:pPr>
              <w:jc w:val="center"/>
              <w:rPr>
                <w:b/>
                <w:u w:val="single"/>
              </w:rPr>
            </w:pPr>
          </w:p>
        </w:tc>
      </w:tr>
    </w:tbl>
    <w:p w:rsidR="00562D8F" w:rsidRDefault="00562D8F" w:rsidP="00562D8F"/>
    <w:p w:rsidR="00562D8F" w:rsidRPr="007C133F" w:rsidRDefault="00562D8F" w:rsidP="00562D8F">
      <w:pPr>
        <w:numPr>
          <w:ilvl w:val="0"/>
          <w:numId w:val="1"/>
        </w:numPr>
        <w:tabs>
          <w:tab w:val="clear" w:pos="900"/>
          <w:tab w:val="num" w:pos="540"/>
        </w:tabs>
        <w:ind w:left="540"/>
        <w:rPr>
          <w:rFonts w:ascii="Arial" w:hAnsi="Arial" w:cs="Arial"/>
          <w:b/>
        </w:rPr>
      </w:pPr>
      <w:r w:rsidRPr="007C133F">
        <w:rPr>
          <w:rFonts w:ascii="Arial" w:hAnsi="Arial" w:cs="Arial"/>
          <w:b/>
        </w:rPr>
        <w:t>Introduction</w:t>
      </w:r>
    </w:p>
    <w:p w:rsidR="00562D8F" w:rsidRPr="007C133F" w:rsidRDefault="00562D8F" w:rsidP="00562D8F">
      <w:pPr>
        <w:rPr>
          <w:rFonts w:ascii="Arial" w:hAnsi="Arial" w:cs="Arial"/>
          <w:b/>
        </w:rPr>
      </w:pPr>
    </w:p>
    <w:p w:rsidR="007C133F" w:rsidRPr="007C133F" w:rsidRDefault="007C133F" w:rsidP="007C133F">
      <w:pPr>
        <w:spacing w:after="200" w:line="276" w:lineRule="auto"/>
        <w:ind w:left="540"/>
        <w:rPr>
          <w:rFonts w:ascii="Arial" w:eastAsia="Calibri" w:hAnsi="Arial" w:cs="Arial"/>
        </w:rPr>
      </w:pPr>
      <w:r w:rsidRPr="007C133F">
        <w:rPr>
          <w:rFonts w:ascii="Arial" w:eastAsia="Calibri" w:hAnsi="Arial" w:cs="Arial"/>
        </w:rPr>
        <w:t>As part of their statutory responsibilities all public and private sector bodies with a workforce of more than 250 members of staff are obliged to produce details of any gender pay gap with in their organisation. This is submitted electronically via a government website.</w:t>
      </w:r>
    </w:p>
    <w:p w:rsidR="007C133F" w:rsidRPr="007C133F" w:rsidRDefault="007C133F" w:rsidP="007C133F">
      <w:pPr>
        <w:spacing w:after="200" w:line="276" w:lineRule="auto"/>
        <w:ind w:left="540"/>
        <w:rPr>
          <w:rFonts w:ascii="Arial" w:eastAsia="Calibri" w:hAnsi="Arial" w:cs="Arial"/>
        </w:rPr>
      </w:pPr>
      <w:r w:rsidRPr="007C133F">
        <w:rPr>
          <w:rFonts w:ascii="Arial" w:eastAsia="Calibri" w:hAnsi="Arial" w:cs="Arial"/>
        </w:rPr>
        <w:t>The data is required to be uploaded by the 31</w:t>
      </w:r>
      <w:r w:rsidRPr="007C133F">
        <w:rPr>
          <w:rFonts w:ascii="Arial" w:eastAsia="Calibri" w:hAnsi="Arial" w:cs="Arial"/>
          <w:vertAlign w:val="superscript"/>
        </w:rPr>
        <w:t>st</w:t>
      </w:r>
      <w:r w:rsidRPr="007C133F">
        <w:rPr>
          <w:rFonts w:ascii="Arial" w:eastAsia="Calibri" w:hAnsi="Arial" w:cs="Arial"/>
        </w:rPr>
        <w:t xml:space="preserve"> March 2018 and relates to the period inclusive of the 31</w:t>
      </w:r>
      <w:r w:rsidRPr="007C133F">
        <w:rPr>
          <w:rFonts w:ascii="Arial" w:eastAsia="Calibri" w:hAnsi="Arial" w:cs="Arial"/>
          <w:vertAlign w:val="superscript"/>
        </w:rPr>
        <w:t>st</w:t>
      </w:r>
      <w:r w:rsidRPr="007C133F">
        <w:rPr>
          <w:rFonts w:ascii="Arial" w:eastAsia="Calibri" w:hAnsi="Arial" w:cs="Arial"/>
        </w:rPr>
        <w:t xml:space="preserve"> March 2017 (snapshot date).</w:t>
      </w:r>
    </w:p>
    <w:p w:rsidR="007C133F" w:rsidRPr="007C133F" w:rsidRDefault="007C133F" w:rsidP="007C133F">
      <w:pPr>
        <w:numPr>
          <w:ilvl w:val="0"/>
          <w:numId w:val="1"/>
        </w:numPr>
        <w:tabs>
          <w:tab w:val="clear" w:pos="900"/>
          <w:tab w:val="num" w:pos="0"/>
        </w:tabs>
        <w:spacing w:after="200" w:line="276" w:lineRule="auto"/>
        <w:ind w:hanging="900"/>
        <w:rPr>
          <w:rFonts w:ascii="Arial" w:eastAsia="Calibri" w:hAnsi="Arial" w:cs="Arial"/>
        </w:rPr>
      </w:pPr>
      <w:r w:rsidRPr="007C133F">
        <w:rPr>
          <w:rFonts w:ascii="Arial" w:hAnsi="Arial" w:cs="Arial"/>
          <w:b/>
          <w:bCs/>
          <w:lang w:val="en"/>
        </w:rPr>
        <w:t>Data used to calculate gender pay gap figures</w:t>
      </w:r>
    </w:p>
    <w:p w:rsidR="007C133F" w:rsidRPr="007C133F" w:rsidRDefault="007C133F" w:rsidP="007C133F">
      <w:pPr>
        <w:numPr>
          <w:ilvl w:val="0"/>
          <w:numId w:val="3"/>
        </w:numPr>
        <w:spacing w:before="100" w:beforeAutospacing="1" w:after="100" w:afterAutospacing="1" w:line="276" w:lineRule="auto"/>
        <w:rPr>
          <w:rFonts w:ascii="Arial" w:hAnsi="Arial" w:cs="Arial"/>
          <w:lang w:val="en"/>
        </w:rPr>
      </w:pPr>
      <w:r w:rsidRPr="007C133F">
        <w:rPr>
          <w:rFonts w:ascii="Arial" w:hAnsi="Arial" w:cs="Arial"/>
          <w:lang w:val="en"/>
        </w:rPr>
        <w:t>mean gender pay gap in hourly pay</w:t>
      </w:r>
    </w:p>
    <w:p w:rsidR="007C133F" w:rsidRPr="007C133F" w:rsidRDefault="007C133F" w:rsidP="007C133F">
      <w:pPr>
        <w:numPr>
          <w:ilvl w:val="0"/>
          <w:numId w:val="3"/>
        </w:numPr>
        <w:spacing w:before="100" w:beforeAutospacing="1" w:after="100" w:afterAutospacing="1" w:line="276" w:lineRule="auto"/>
        <w:rPr>
          <w:rFonts w:ascii="Arial" w:hAnsi="Arial" w:cs="Arial"/>
          <w:lang w:val="en"/>
        </w:rPr>
      </w:pPr>
      <w:r w:rsidRPr="007C133F">
        <w:rPr>
          <w:rFonts w:ascii="Arial" w:hAnsi="Arial" w:cs="Arial"/>
          <w:lang w:val="en"/>
        </w:rPr>
        <w:t>median gender pay gap in hourly pay</w:t>
      </w:r>
    </w:p>
    <w:p w:rsidR="007C133F" w:rsidRPr="007C133F" w:rsidRDefault="007C133F" w:rsidP="007C133F">
      <w:pPr>
        <w:numPr>
          <w:ilvl w:val="0"/>
          <w:numId w:val="3"/>
        </w:numPr>
        <w:spacing w:before="100" w:beforeAutospacing="1" w:after="100" w:afterAutospacing="1" w:line="276" w:lineRule="auto"/>
        <w:rPr>
          <w:rFonts w:ascii="Arial" w:hAnsi="Arial" w:cs="Arial"/>
          <w:lang w:val="en"/>
        </w:rPr>
      </w:pPr>
      <w:r w:rsidRPr="007C133F">
        <w:rPr>
          <w:rFonts w:ascii="Arial" w:hAnsi="Arial" w:cs="Arial"/>
          <w:lang w:val="en"/>
        </w:rPr>
        <w:t>mean bonus gender pay gap</w:t>
      </w:r>
    </w:p>
    <w:p w:rsidR="007C133F" w:rsidRPr="007C133F" w:rsidRDefault="007C133F" w:rsidP="007C133F">
      <w:pPr>
        <w:numPr>
          <w:ilvl w:val="0"/>
          <w:numId w:val="3"/>
        </w:numPr>
        <w:spacing w:before="100" w:beforeAutospacing="1" w:after="100" w:afterAutospacing="1" w:line="276" w:lineRule="auto"/>
        <w:rPr>
          <w:rFonts w:ascii="Arial" w:hAnsi="Arial" w:cs="Arial"/>
          <w:lang w:val="en"/>
        </w:rPr>
      </w:pPr>
      <w:r w:rsidRPr="007C133F">
        <w:rPr>
          <w:rFonts w:ascii="Arial" w:hAnsi="Arial" w:cs="Arial"/>
          <w:lang w:val="en"/>
        </w:rPr>
        <w:t>median bonus gender pay gap</w:t>
      </w:r>
    </w:p>
    <w:p w:rsidR="007C133F" w:rsidRPr="007C133F" w:rsidRDefault="007C133F" w:rsidP="007C133F">
      <w:pPr>
        <w:numPr>
          <w:ilvl w:val="0"/>
          <w:numId w:val="3"/>
        </w:numPr>
        <w:spacing w:before="100" w:beforeAutospacing="1" w:after="100" w:afterAutospacing="1" w:line="276" w:lineRule="auto"/>
        <w:rPr>
          <w:rFonts w:ascii="Arial" w:hAnsi="Arial" w:cs="Arial"/>
          <w:lang w:val="en"/>
        </w:rPr>
      </w:pPr>
      <w:r w:rsidRPr="007C133F">
        <w:rPr>
          <w:rFonts w:ascii="Arial" w:hAnsi="Arial" w:cs="Arial"/>
          <w:lang w:val="en"/>
        </w:rPr>
        <w:t>proportion of males and females receiving a bonus payment</w:t>
      </w:r>
    </w:p>
    <w:p w:rsidR="007C133F" w:rsidRPr="007C133F" w:rsidRDefault="007C133F" w:rsidP="007C133F">
      <w:pPr>
        <w:numPr>
          <w:ilvl w:val="0"/>
          <w:numId w:val="3"/>
        </w:numPr>
        <w:spacing w:before="100" w:beforeAutospacing="1" w:after="100" w:afterAutospacing="1" w:line="276" w:lineRule="auto"/>
        <w:rPr>
          <w:rFonts w:ascii="Arial" w:hAnsi="Arial" w:cs="Arial"/>
          <w:lang w:val="en"/>
        </w:rPr>
      </w:pPr>
      <w:r w:rsidRPr="007C133F">
        <w:rPr>
          <w:rFonts w:ascii="Arial" w:hAnsi="Arial" w:cs="Arial"/>
          <w:lang w:val="en"/>
        </w:rPr>
        <w:t>proportion of males and females in each pay quartile</w:t>
      </w:r>
    </w:p>
    <w:p w:rsidR="007C133F" w:rsidRPr="007C133F" w:rsidRDefault="007C133F" w:rsidP="007C133F">
      <w:pPr>
        <w:numPr>
          <w:ilvl w:val="0"/>
          <w:numId w:val="1"/>
        </w:numPr>
        <w:tabs>
          <w:tab w:val="clear" w:pos="900"/>
          <w:tab w:val="num" w:pos="426"/>
        </w:tabs>
        <w:spacing w:after="200" w:line="276" w:lineRule="auto"/>
        <w:ind w:hanging="900"/>
        <w:rPr>
          <w:rFonts w:ascii="Arial" w:eastAsia="Calibri" w:hAnsi="Arial" w:cs="Arial"/>
          <w:b/>
          <w:lang w:eastAsia="en-US"/>
        </w:rPr>
      </w:pPr>
      <w:r w:rsidRPr="007C133F">
        <w:rPr>
          <w:rFonts w:ascii="Arial" w:eastAsia="Calibri" w:hAnsi="Arial" w:cs="Arial"/>
          <w:b/>
          <w:lang w:eastAsia="en-US"/>
        </w:rPr>
        <w:t>Definitions</w:t>
      </w:r>
    </w:p>
    <w:p w:rsidR="007C133F" w:rsidRPr="007C133F" w:rsidRDefault="007C133F" w:rsidP="007C133F">
      <w:pPr>
        <w:numPr>
          <w:ilvl w:val="0"/>
          <w:numId w:val="4"/>
        </w:numPr>
        <w:spacing w:before="100" w:beforeAutospacing="1" w:after="100" w:afterAutospacing="1" w:line="276" w:lineRule="auto"/>
        <w:contextualSpacing/>
        <w:rPr>
          <w:rFonts w:ascii="Arial" w:hAnsi="Arial" w:cs="Arial"/>
          <w:lang w:val="en"/>
        </w:rPr>
      </w:pPr>
      <w:r w:rsidRPr="007C133F">
        <w:rPr>
          <w:rFonts w:ascii="Arial" w:hAnsi="Arial" w:cs="Arial"/>
          <w:lang w:val="en"/>
        </w:rPr>
        <w:t>A full-pay relevant employee, the employee must be paid their full usual pay during the pay period in which the snapshot date falls. If the employee is paid less than their usual rate because of leave for that period, they should not be counted as a full-pay relevant employee.</w:t>
      </w:r>
    </w:p>
    <w:p w:rsidR="007C133F" w:rsidRPr="007C133F" w:rsidRDefault="007C133F" w:rsidP="007C133F">
      <w:pPr>
        <w:numPr>
          <w:ilvl w:val="0"/>
          <w:numId w:val="4"/>
        </w:numPr>
        <w:spacing w:before="100" w:beforeAutospacing="1" w:after="100" w:afterAutospacing="1" w:line="276" w:lineRule="auto"/>
        <w:contextualSpacing/>
        <w:rPr>
          <w:rFonts w:ascii="Arial" w:hAnsi="Arial" w:cs="Arial"/>
          <w:lang w:val="en"/>
        </w:rPr>
      </w:pPr>
      <w:r w:rsidRPr="007C133F">
        <w:rPr>
          <w:rFonts w:ascii="Arial" w:hAnsi="Arial" w:cs="Arial"/>
          <w:lang w:val="en"/>
        </w:rPr>
        <w:t>If an employee is on any kind of leave and not being paid their full usual amount in the pay period, they are not full-pay relevant employees. For example, they are paid Statutory Sick Pay or Statutory Maternity Pay which is less than their usual pay.</w:t>
      </w:r>
    </w:p>
    <w:p w:rsidR="007C133F" w:rsidRDefault="007C133F" w:rsidP="007C133F">
      <w:pPr>
        <w:spacing w:before="100" w:beforeAutospacing="1" w:after="100" w:afterAutospacing="1"/>
        <w:rPr>
          <w:rFonts w:ascii="Arial" w:hAnsi="Arial" w:cs="Arial"/>
          <w:b/>
          <w:lang w:val="en"/>
        </w:rPr>
      </w:pPr>
    </w:p>
    <w:p w:rsidR="007C133F" w:rsidRDefault="007C133F" w:rsidP="007C133F">
      <w:pPr>
        <w:spacing w:before="100" w:beforeAutospacing="1" w:after="100" w:afterAutospacing="1"/>
        <w:rPr>
          <w:rFonts w:ascii="Arial" w:hAnsi="Arial" w:cs="Arial"/>
          <w:b/>
          <w:lang w:val="en"/>
        </w:rPr>
      </w:pPr>
    </w:p>
    <w:p w:rsidR="007C133F" w:rsidRDefault="007C133F" w:rsidP="007C133F">
      <w:pPr>
        <w:spacing w:before="100" w:beforeAutospacing="1" w:after="100" w:afterAutospacing="1"/>
        <w:rPr>
          <w:rFonts w:ascii="Arial" w:hAnsi="Arial" w:cs="Arial"/>
          <w:b/>
          <w:lang w:val="en"/>
        </w:rPr>
      </w:pPr>
    </w:p>
    <w:p w:rsidR="007C133F" w:rsidRDefault="007C133F" w:rsidP="007C133F">
      <w:pPr>
        <w:spacing w:before="100" w:beforeAutospacing="1" w:after="100" w:afterAutospacing="1"/>
        <w:rPr>
          <w:rFonts w:ascii="Arial" w:hAnsi="Arial" w:cs="Arial"/>
          <w:b/>
          <w:lang w:val="en"/>
        </w:rPr>
      </w:pPr>
    </w:p>
    <w:p w:rsidR="007C133F" w:rsidRDefault="007C133F" w:rsidP="007C133F">
      <w:pPr>
        <w:spacing w:before="100" w:beforeAutospacing="1" w:after="100" w:afterAutospacing="1"/>
        <w:rPr>
          <w:rFonts w:ascii="Arial" w:hAnsi="Arial" w:cs="Arial"/>
          <w:b/>
          <w:lang w:val="en"/>
        </w:rPr>
      </w:pPr>
    </w:p>
    <w:p w:rsidR="007C133F" w:rsidRPr="007C133F" w:rsidRDefault="007C133F" w:rsidP="007C133F">
      <w:pPr>
        <w:spacing w:before="100" w:beforeAutospacing="1" w:after="100" w:afterAutospacing="1"/>
        <w:rPr>
          <w:rFonts w:ascii="Arial" w:hAnsi="Arial" w:cs="Arial"/>
          <w:b/>
          <w:lang w:val="en"/>
        </w:rPr>
      </w:pPr>
    </w:p>
    <w:p w:rsidR="007C133F" w:rsidRPr="007C133F" w:rsidRDefault="007C133F" w:rsidP="007C133F">
      <w:pPr>
        <w:numPr>
          <w:ilvl w:val="0"/>
          <w:numId w:val="1"/>
        </w:numPr>
        <w:tabs>
          <w:tab w:val="clear" w:pos="900"/>
          <w:tab w:val="num" w:pos="426"/>
        </w:tabs>
        <w:spacing w:before="100" w:beforeAutospacing="1" w:after="100" w:afterAutospacing="1"/>
        <w:ind w:hanging="900"/>
        <w:rPr>
          <w:rFonts w:ascii="Arial" w:hAnsi="Arial" w:cs="Arial"/>
          <w:b/>
          <w:lang w:val="en"/>
        </w:rPr>
      </w:pPr>
      <w:r w:rsidRPr="007C133F">
        <w:rPr>
          <w:rFonts w:ascii="Arial" w:hAnsi="Arial" w:cs="Arial"/>
          <w:b/>
          <w:lang w:val="en"/>
        </w:rPr>
        <w:lastRenderedPageBreak/>
        <w:t>Results for KCHFT</w:t>
      </w:r>
    </w:p>
    <w:p w:rsidR="007C133F" w:rsidRPr="007C133F" w:rsidRDefault="007C133F" w:rsidP="007C133F">
      <w:pPr>
        <w:spacing w:before="100" w:beforeAutospacing="1" w:after="100" w:afterAutospacing="1"/>
        <w:rPr>
          <w:rFonts w:ascii="Arial" w:hAnsi="Arial" w:cs="Arial"/>
          <w:lang w:val="en"/>
        </w:rPr>
      </w:pPr>
      <w:r w:rsidRPr="007C133F">
        <w:rPr>
          <w:rFonts w:ascii="Arial" w:hAnsi="Arial" w:cs="Arial"/>
          <w:lang w:val="en"/>
        </w:rPr>
        <w:t>The Electronic Staff Record (ESR) Central Team has had the issue of calculating this data on their agenda for the past year and has produced a number of reports to support the process.</w:t>
      </w:r>
    </w:p>
    <w:p w:rsidR="007C133F" w:rsidRPr="007C133F" w:rsidRDefault="007C133F" w:rsidP="007C133F">
      <w:pPr>
        <w:spacing w:before="100" w:beforeAutospacing="1" w:after="100" w:afterAutospacing="1"/>
        <w:rPr>
          <w:rFonts w:ascii="Arial" w:hAnsi="Arial" w:cs="Arial"/>
          <w:b/>
          <w:lang w:val="en"/>
        </w:rPr>
      </w:pPr>
      <w:r w:rsidRPr="007C133F">
        <w:rPr>
          <w:rFonts w:ascii="Arial" w:hAnsi="Arial" w:cs="Arial"/>
          <w:b/>
          <w:lang w:val="en"/>
        </w:rPr>
        <w:t>Mean gender pay gap in hourly pay</w:t>
      </w:r>
    </w:p>
    <w:tbl>
      <w:tblPr>
        <w:tblW w:w="7796" w:type="dxa"/>
        <w:tblInd w:w="93" w:type="dxa"/>
        <w:tblLook w:val="04A0" w:firstRow="1" w:lastRow="0" w:firstColumn="1" w:lastColumn="0" w:noHBand="0" w:noVBand="1"/>
      </w:tblPr>
      <w:tblGrid>
        <w:gridCol w:w="1580"/>
        <w:gridCol w:w="1554"/>
        <w:gridCol w:w="1554"/>
        <w:gridCol w:w="1554"/>
        <w:gridCol w:w="1554"/>
      </w:tblGrid>
      <w:tr w:rsidR="006B4C34" w:rsidRPr="007C133F" w:rsidTr="006B4C34">
        <w:trPr>
          <w:trHeight w:val="332"/>
        </w:trPr>
        <w:tc>
          <w:tcPr>
            <w:tcW w:w="1580" w:type="dxa"/>
            <w:tcBorders>
              <w:top w:val="single" w:sz="4" w:space="0" w:color="auto"/>
              <w:left w:val="single" w:sz="4" w:space="0" w:color="auto"/>
              <w:bottom w:val="single" w:sz="4" w:space="0" w:color="auto"/>
              <w:right w:val="single" w:sz="4" w:space="0" w:color="auto"/>
            </w:tcBorders>
            <w:shd w:val="clear" w:color="000000" w:fill="0066CC"/>
            <w:hideMark/>
          </w:tcPr>
          <w:p w:rsidR="006B4C34" w:rsidRPr="006B4C34" w:rsidRDefault="006B4C34" w:rsidP="007C133F">
            <w:pPr>
              <w:rPr>
                <w:rFonts w:ascii="Arial" w:hAnsi="Arial" w:cs="Arial"/>
                <w:b/>
                <w:bCs/>
                <w:color w:val="FFFFFF"/>
              </w:rPr>
            </w:pPr>
            <w:r w:rsidRPr="006B4C34">
              <w:rPr>
                <w:rFonts w:ascii="Arial" w:hAnsi="Arial" w:cs="Arial"/>
                <w:b/>
                <w:bCs/>
                <w:color w:val="FFFFFF"/>
              </w:rPr>
              <w:t>Gender</w:t>
            </w:r>
          </w:p>
        </w:tc>
        <w:tc>
          <w:tcPr>
            <w:tcW w:w="1554" w:type="dxa"/>
            <w:tcBorders>
              <w:top w:val="single" w:sz="4" w:space="0" w:color="auto"/>
              <w:left w:val="nil"/>
              <w:bottom w:val="single" w:sz="4" w:space="0" w:color="auto"/>
              <w:right w:val="single" w:sz="4" w:space="0" w:color="auto"/>
            </w:tcBorders>
            <w:shd w:val="clear" w:color="000000" w:fill="0066CC"/>
            <w:hideMark/>
          </w:tcPr>
          <w:p w:rsidR="006B4C34" w:rsidRPr="006B4C34" w:rsidRDefault="00526FEF" w:rsidP="007C133F">
            <w:pPr>
              <w:rPr>
                <w:rFonts w:ascii="Arial" w:hAnsi="Arial" w:cs="Arial"/>
                <w:b/>
                <w:bCs/>
                <w:color w:val="FFFFFF"/>
              </w:rPr>
            </w:pPr>
            <w:r>
              <w:rPr>
                <w:rFonts w:ascii="Arial" w:hAnsi="Arial" w:cs="Arial"/>
                <w:b/>
                <w:bCs/>
                <w:color w:val="FFFFFF"/>
              </w:rPr>
              <w:t>Mean</w:t>
            </w:r>
            <w:r w:rsidR="006B4C34" w:rsidRPr="006B4C34">
              <w:rPr>
                <w:rFonts w:ascii="Arial" w:hAnsi="Arial" w:cs="Arial"/>
                <w:b/>
                <w:bCs/>
                <w:color w:val="FFFFFF"/>
              </w:rPr>
              <w:t xml:space="preserve"> Hourly Rate</w:t>
            </w:r>
          </w:p>
        </w:tc>
        <w:tc>
          <w:tcPr>
            <w:tcW w:w="1554" w:type="dxa"/>
            <w:tcBorders>
              <w:top w:val="single" w:sz="4" w:space="0" w:color="auto"/>
              <w:left w:val="nil"/>
              <w:bottom w:val="single" w:sz="4" w:space="0" w:color="auto"/>
              <w:right w:val="single" w:sz="4" w:space="0" w:color="auto"/>
            </w:tcBorders>
            <w:shd w:val="clear" w:color="000000" w:fill="0066CC"/>
          </w:tcPr>
          <w:p w:rsidR="006B4C34" w:rsidRPr="006B4C34" w:rsidRDefault="006B4C34" w:rsidP="007C133F">
            <w:pPr>
              <w:rPr>
                <w:rFonts w:ascii="Arial" w:hAnsi="Arial" w:cs="Arial"/>
                <w:b/>
                <w:bCs/>
                <w:color w:val="FFFFFF"/>
              </w:rPr>
            </w:pPr>
            <w:r w:rsidRPr="006B4C34">
              <w:rPr>
                <w:rFonts w:ascii="Arial" w:hAnsi="Arial" w:cs="Arial"/>
                <w:b/>
                <w:bCs/>
                <w:color w:val="FFFFFF"/>
              </w:rPr>
              <w:t>Median Hourly Rate</w:t>
            </w:r>
          </w:p>
        </w:tc>
        <w:tc>
          <w:tcPr>
            <w:tcW w:w="1554" w:type="dxa"/>
            <w:tcBorders>
              <w:top w:val="single" w:sz="4" w:space="0" w:color="auto"/>
              <w:left w:val="nil"/>
              <w:bottom w:val="single" w:sz="4" w:space="0" w:color="auto"/>
              <w:right w:val="single" w:sz="4" w:space="0" w:color="auto"/>
            </w:tcBorders>
            <w:shd w:val="clear" w:color="000000" w:fill="0066CC"/>
          </w:tcPr>
          <w:p w:rsidR="006B4C34" w:rsidRPr="003A750D" w:rsidRDefault="00526FEF" w:rsidP="00526FEF">
            <w:pPr>
              <w:rPr>
                <w:rFonts w:ascii="Arial" w:hAnsi="Arial" w:cs="Arial"/>
                <w:b/>
                <w:bCs/>
                <w:color w:val="FFFFFF"/>
              </w:rPr>
            </w:pPr>
            <w:r w:rsidRPr="003A750D">
              <w:rPr>
                <w:rFonts w:ascii="Arial" w:hAnsi="Arial" w:cs="Arial"/>
                <w:b/>
                <w:color w:val="FFFFFF"/>
                <w:lang w:val="en"/>
              </w:rPr>
              <w:t>Mean B</w:t>
            </w:r>
            <w:r w:rsidR="006B4C34" w:rsidRPr="003A750D">
              <w:rPr>
                <w:rFonts w:ascii="Arial" w:hAnsi="Arial" w:cs="Arial"/>
                <w:b/>
                <w:color w:val="FFFFFF"/>
                <w:lang w:val="en"/>
              </w:rPr>
              <w:t>onus</w:t>
            </w:r>
            <w:r w:rsidR="006B4C34" w:rsidRPr="003A750D">
              <w:rPr>
                <w:rFonts w:ascii="Arial" w:hAnsi="Arial" w:cs="Arial"/>
                <w:b/>
                <w:bCs/>
                <w:color w:val="FFFFFF"/>
              </w:rPr>
              <w:t xml:space="preserve"> </w:t>
            </w:r>
            <w:r w:rsidR="006B4C34" w:rsidRPr="006B4C34">
              <w:rPr>
                <w:rFonts w:ascii="Arial" w:hAnsi="Arial" w:cs="Arial"/>
                <w:b/>
                <w:bCs/>
                <w:color w:val="FFFFFF"/>
              </w:rPr>
              <w:t>Pay</w:t>
            </w:r>
          </w:p>
        </w:tc>
        <w:tc>
          <w:tcPr>
            <w:tcW w:w="1554" w:type="dxa"/>
            <w:tcBorders>
              <w:top w:val="single" w:sz="4" w:space="0" w:color="auto"/>
              <w:left w:val="nil"/>
              <w:bottom w:val="single" w:sz="4" w:space="0" w:color="auto"/>
              <w:right w:val="single" w:sz="4" w:space="0" w:color="auto"/>
            </w:tcBorders>
            <w:shd w:val="clear" w:color="000000" w:fill="0066CC"/>
          </w:tcPr>
          <w:p w:rsidR="006B4C34" w:rsidRPr="006B4C34" w:rsidRDefault="006B4C34" w:rsidP="003A750D">
            <w:pPr>
              <w:rPr>
                <w:rFonts w:ascii="Arial" w:hAnsi="Arial" w:cs="Arial"/>
                <w:b/>
                <w:bCs/>
                <w:color w:val="FFFFFF"/>
              </w:rPr>
            </w:pPr>
            <w:r w:rsidRPr="006B4C34">
              <w:rPr>
                <w:rFonts w:ascii="Arial" w:hAnsi="Arial" w:cs="Arial"/>
                <w:b/>
                <w:bCs/>
                <w:color w:val="FFFFFF"/>
              </w:rPr>
              <w:t>Median  Bonus Pay</w:t>
            </w:r>
          </w:p>
        </w:tc>
      </w:tr>
      <w:tr w:rsidR="006B4C34" w:rsidRPr="007C133F" w:rsidTr="006B4C34">
        <w:trPr>
          <w:trHeight w:val="300"/>
        </w:trPr>
        <w:tc>
          <w:tcPr>
            <w:tcW w:w="1580" w:type="dxa"/>
            <w:tcBorders>
              <w:top w:val="nil"/>
              <w:left w:val="single" w:sz="4" w:space="0" w:color="auto"/>
              <w:bottom w:val="single" w:sz="4" w:space="0" w:color="auto"/>
              <w:right w:val="single" w:sz="4" w:space="0" w:color="auto"/>
            </w:tcBorders>
            <w:shd w:val="clear" w:color="000000" w:fill="0066CC"/>
            <w:hideMark/>
          </w:tcPr>
          <w:p w:rsidR="006B4C34" w:rsidRPr="006B4C34" w:rsidRDefault="006B4C34" w:rsidP="007C133F">
            <w:pPr>
              <w:rPr>
                <w:rFonts w:ascii="Arial" w:hAnsi="Arial" w:cs="Arial"/>
                <w:b/>
                <w:bCs/>
                <w:color w:val="FFFFFF"/>
              </w:rPr>
            </w:pPr>
            <w:r w:rsidRPr="006B4C34">
              <w:rPr>
                <w:rFonts w:ascii="Arial" w:hAnsi="Arial" w:cs="Arial"/>
                <w:b/>
                <w:bCs/>
                <w:color w:val="FFFFFF"/>
              </w:rPr>
              <w:t>Male</w:t>
            </w:r>
          </w:p>
        </w:tc>
        <w:tc>
          <w:tcPr>
            <w:tcW w:w="1554" w:type="dxa"/>
            <w:tcBorders>
              <w:top w:val="nil"/>
              <w:left w:val="nil"/>
              <w:bottom w:val="single" w:sz="4" w:space="0" w:color="auto"/>
              <w:right w:val="single" w:sz="4" w:space="0" w:color="auto"/>
            </w:tcBorders>
            <w:shd w:val="clear" w:color="000000" w:fill="FFFFFF"/>
            <w:hideMark/>
          </w:tcPr>
          <w:p w:rsidR="006B4C34" w:rsidRPr="006B4C34" w:rsidRDefault="006B4C34" w:rsidP="007C133F">
            <w:pPr>
              <w:jc w:val="right"/>
              <w:rPr>
                <w:rFonts w:ascii="Arial" w:hAnsi="Arial" w:cs="Arial"/>
                <w:color w:val="000000"/>
              </w:rPr>
            </w:pPr>
            <w:r w:rsidRPr="006B4C34">
              <w:rPr>
                <w:rFonts w:ascii="Arial" w:hAnsi="Arial" w:cs="Arial"/>
                <w:color w:val="000000"/>
              </w:rPr>
              <w:t>15.6370</w:t>
            </w:r>
          </w:p>
        </w:tc>
        <w:tc>
          <w:tcPr>
            <w:tcW w:w="1554" w:type="dxa"/>
            <w:tcBorders>
              <w:top w:val="nil"/>
              <w:left w:val="nil"/>
              <w:bottom w:val="single" w:sz="4" w:space="0" w:color="auto"/>
              <w:right w:val="single" w:sz="4" w:space="0" w:color="auto"/>
            </w:tcBorders>
            <w:shd w:val="clear" w:color="000000" w:fill="FFFFFF"/>
          </w:tcPr>
          <w:p w:rsidR="006B4C34" w:rsidRPr="006B4C34" w:rsidRDefault="006B4C34" w:rsidP="007C133F">
            <w:pPr>
              <w:jc w:val="right"/>
              <w:rPr>
                <w:rFonts w:ascii="Arial" w:hAnsi="Arial" w:cs="Arial"/>
                <w:color w:val="000000"/>
              </w:rPr>
            </w:pPr>
            <w:r w:rsidRPr="006B4C34">
              <w:rPr>
                <w:rFonts w:ascii="Arial" w:hAnsi="Arial" w:cs="Arial"/>
                <w:color w:val="000000"/>
              </w:rPr>
              <w:t>13.7180</w:t>
            </w:r>
          </w:p>
        </w:tc>
        <w:tc>
          <w:tcPr>
            <w:tcW w:w="1554" w:type="dxa"/>
            <w:tcBorders>
              <w:top w:val="nil"/>
              <w:left w:val="nil"/>
              <w:bottom w:val="single" w:sz="4" w:space="0" w:color="auto"/>
              <w:right w:val="single" w:sz="4" w:space="0" w:color="auto"/>
            </w:tcBorders>
            <w:shd w:val="clear" w:color="000000" w:fill="FFFFFF"/>
          </w:tcPr>
          <w:p w:rsidR="006B4C34" w:rsidRPr="006B4C34" w:rsidRDefault="006B4C34" w:rsidP="003A750D">
            <w:pPr>
              <w:jc w:val="right"/>
              <w:rPr>
                <w:rFonts w:ascii="Arial" w:hAnsi="Arial" w:cs="Arial"/>
                <w:color w:val="000000"/>
              </w:rPr>
            </w:pPr>
            <w:r w:rsidRPr="006B4C34">
              <w:rPr>
                <w:rFonts w:ascii="Arial" w:hAnsi="Arial" w:cs="Arial"/>
                <w:color w:val="000000"/>
              </w:rPr>
              <w:t>7,982.85</w:t>
            </w:r>
          </w:p>
        </w:tc>
        <w:tc>
          <w:tcPr>
            <w:tcW w:w="1554" w:type="dxa"/>
            <w:tcBorders>
              <w:top w:val="nil"/>
              <w:left w:val="nil"/>
              <w:bottom w:val="single" w:sz="4" w:space="0" w:color="auto"/>
              <w:right w:val="single" w:sz="4" w:space="0" w:color="auto"/>
            </w:tcBorders>
            <w:shd w:val="clear" w:color="000000" w:fill="FFFFFF"/>
          </w:tcPr>
          <w:p w:rsidR="006B4C34" w:rsidRPr="006B4C34" w:rsidRDefault="006B4C34" w:rsidP="003A750D">
            <w:pPr>
              <w:jc w:val="right"/>
              <w:rPr>
                <w:rFonts w:ascii="Arial" w:hAnsi="Arial" w:cs="Arial"/>
                <w:color w:val="000000"/>
              </w:rPr>
            </w:pPr>
            <w:r w:rsidRPr="006B4C34">
              <w:rPr>
                <w:rFonts w:ascii="Arial" w:hAnsi="Arial" w:cs="Arial"/>
                <w:color w:val="000000"/>
              </w:rPr>
              <w:t>6,830.86</w:t>
            </w:r>
          </w:p>
        </w:tc>
      </w:tr>
      <w:tr w:rsidR="006B4C34" w:rsidRPr="007C133F" w:rsidTr="006B4C34">
        <w:trPr>
          <w:trHeight w:val="300"/>
        </w:trPr>
        <w:tc>
          <w:tcPr>
            <w:tcW w:w="1580" w:type="dxa"/>
            <w:tcBorders>
              <w:top w:val="nil"/>
              <w:left w:val="single" w:sz="4" w:space="0" w:color="auto"/>
              <w:bottom w:val="single" w:sz="4" w:space="0" w:color="auto"/>
              <w:right w:val="single" w:sz="4" w:space="0" w:color="auto"/>
            </w:tcBorders>
            <w:shd w:val="clear" w:color="000000" w:fill="0066CC"/>
            <w:hideMark/>
          </w:tcPr>
          <w:p w:rsidR="006B4C34" w:rsidRPr="006B4C34" w:rsidRDefault="006B4C34" w:rsidP="007C133F">
            <w:pPr>
              <w:rPr>
                <w:rFonts w:ascii="Arial" w:hAnsi="Arial" w:cs="Arial"/>
                <w:b/>
                <w:bCs/>
                <w:color w:val="FFFFFF"/>
              </w:rPr>
            </w:pPr>
            <w:r w:rsidRPr="006B4C34">
              <w:rPr>
                <w:rFonts w:ascii="Arial" w:hAnsi="Arial" w:cs="Arial"/>
                <w:b/>
                <w:bCs/>
                <w:color w:val="FFFFFF"/>
              </w:rPr>
              <w:t>Female</w:t>
            </w:r>
          </w:p>
        </w:tc>
        <w:tc>
          <w:tcPr>
            <w:tcW w:w="1554" w:type="dxa"/>
            <w:tcBorders>
              <w:top w:val="nil"/>
              <w:left w:val="nil"/>
              <w:bottom w:val="single" w:sz="4" w:space="0" w:color="auto"/>
              <w:right w:val="single" w:sz="4" w:space="0" w:color="auto"/>
            </w:tcBorders>
            <w:shd w:val="clear" w:color="000000" w:fill="FFFFFF"/>
            <w:hideMark/>
          </w:tcPr>
          <w:p w:rsidR="006B4C34" w:rsidRPr="006B4C34" w:rsidRDefault="006B4C34" w:rsidP="007C133F">
            <w:pPr>
              <w:jc w:val="right"/>
              <w:rPr>
                <w:rFonts w:ascii="Arial" w:hAnsi="Arial" w:cs="Arial"/>
                <w:color w:val="000000"/>
              </w:rPr>
            </w:pPr>
            <w:r w:rsidRPr="006B4C34">
              <w:rPr>
                <w:rFonts w:ascii="Arial" w:hAnsi="Arial" w:cs="Arial"/>
                <w:color w:val="000000"/>
              </w:rPr>
              <w:t>14.2264</w:t>
            </w:r>
          </w:p>
        </w:tc>
        <w:tc>
          <w:tcPr>
            <w:tcW w:w="1554" w:type="dxa"/>
            <w:tcBorders>
              <w:top w:val="nil"/>
              <w:left w:val="nil"/>
              <w:bottom w:val="single" w:sz="4" w:space="0" w:color="auto"/>
              <w:right w:val="single" w:sz="4" w:space="0" w:color="auto"/>
            </w:tcBorders>
            <w:shd w:val="clear" w:color="000000" w:fill="FFFFFF"/>
          </w:tcPr>
          <w:p w:rsidR="006B4C34" w:rsidRPr="006B4C34" w:rsidRDefault="006B4C34" w:rsidP="007C133F">
            <w:pPr>
              <w:jc w:val="right"/>
              <w:rPr>
                <w:rFonts w:ascii="Arial" w:hAnsi="Arial" w:cs="Arial"/>
                <w:color w:val="000000"/>
              </w:rPr>
            </w:pPr>
            <w:r w:rsidRPr="006B4C34">
              <w:rPr>
                <w:rFonts w:ascii="Arial" w:hAnsi="Arial" w:cs="Arial"/>
                <w:color w:val="000000"/>
              </w:rPr>
              <w:t>12.5796</w:t>
            </w:r>
          </w:p>
        </w:tc>
        <w:tc>
          <w:tcPr>
            <w:tcW w:w="1554" w:type="dxa"/>
            <w:tcBorders>
              <w:top w:val="nil"/>
              <w:left w:val="nil"/>
              <w:bottom w:val="single" w:sz="4" w:space="0" w:color="auto"/>
              <w:right w:val="single" w:sz="4" w:space="0" w:color="auto"/>
            </w:tcBorders>
            <w:shd w:val="clear" w:color="000000" w:fill="FFFFFF"/>
          </w:tcPr>
          <w:p w:rsidR="006B4C34" w:rsidRPr="006B4C34" w:rsidRDefault="006B4C34" w:rsidP="003A750D">
            <w:pPr>
              <w:jc w:val="right"/>
              <w:rPr>
                <w:rFonts w:ascii="Arial" w:hAnsi="Arial" w:cs="Arial"/>
                <w:color w:val="000000"/>
              </w:rPr>
            </w:pPr>
            <w:r w:rsidRPr="006B4C34">
              <w:rPr>
                <w:rFonts w:ascii="Arial" w:hAnsi="Arial" w:cs="Arial"/>
                <w:color w:val="000000"/>
              </w:rPr>
              <w:t>16,118.89</w:t>
            </w:r>
          </w:p>
        </w:tc>
        <w:tc>
          <w:tcPr>
            <w:tcW w:w="1554" w:type="dxa"/>
            <w:tcBorders>
              <w:top w:val="nil"/>
              <w:left w:val="nil"/>
              <w:bottom w:val="single" w:sz="4" w:space="0" w:color="auto"/>
              <w:right w:val="single" w:sz="4" w:space="0" w:color="auto"/>
            </w:tcBorders>
            <w:shd w:val="clear" w:color="000000" w:fill="FFFFFF"/>
          </w:tcPr>
          <w:p w:rsidR="006B4C34" w:rsidRPr="006B4C34" w:rsidRDefault="006B4C34" w:rsidP="003A750D">
            <w:pPr>
              <w:jc w:val="right"/>
              <w:rPr>
                <w:rFonts w:ascii="Arial" w:hAnsi="Arial" w:cs="Arial"/>
                <w:color w:val="000000"/>
              </w:rPr>
            </w:pPr>
            <w:r w:rsidRPr="006B4C34">
              <w:rPr>
                <w:rFonts w:ascii="Arial" w:hAnsi="Arial" w:cs="Arial"/>
                <w:color w:val="000000"/>
              </w:rPr>
              <w:t>10,319.32</w:t>
            </w:r>
          </w:p>
        </w:tc>
      </w:tr>
      <w:tr w:rsidR="006B4C34" w:rsidRPr="007C133F" w:rsidTr="006B4C34">
        <w:trPr>
          <w:trHeight w:val="300"/>
        </w:trPr>
        <w:tc>
          <w:tcPr>
            <w:tcW w:w="1580" w:type="dxa"/>
            <w:tcBorders>
              <w:top w:val="nil"/>
              <w:left w:val="single" w:sz="4" w:space="0" w:color="auto"/>
              <w:bottom w:val="single" w:sz="4" w:space="0" w:color="auto"/>
              <w:right w:val="single" w:sz="4" w:space="0" w:color="auto"/>
            </w:tcBorders>
            <w:shd w:val="clear" w:color="000000" w:fill="0066CC"/>
            <w:hideMark/>
          </w:tcPr>
          <w:p w:rsidR="006B4C34" w:rsidRPr="006B4C34" w:rsidRDefault="006B4C34" w:rsidP="007C133F">
            <w:pPr>
              <w:rPr>
                <w:rFonts w:ascii="Arial" w:hAnsi="Arial" w:cs="Arial"/>
                <w:b/>
                <w:bCs/>
                <w:color w:val="FFFFFF"/>
              </w:rPr>
            </w:pPr>
            <w:r w:rsidRPr="006B4C34">
              <w:rPr>
                <w:rFonts w:ascii="Arial" w:hAnsi="Arial" w:cs="Arial"/>
                <w:b/>
                <w:bCs/>
                <w:color w:val="FFFFFF"/>
              </w:rPr>
              <w:t>Difference</w:t>
            </w:r>
          </w:p>
        </w:tc>
        <w:tc>
          <w:tcPr>
            <w:tcW w:w="1554" w:type="dxa"/>
            <w:tcBorders>
              <w:top w:val="nil"/>
              <w:left w:val="nil"/>
              <w:bottom w:val="single" w:sz="4" w:space="0" w:color="auto"/>
              <w:right w:val="single" w:sz="4" w:space="0" w:color="auto"/>
            </w:tcBorders>
            <w:shd w:val="clear" w:color="000000" w:fill="FFFFFF"/>
            <w:hideMark/>
          </w:tcPr>
          <w:p w:rsidR="006B4C34" w:rsidRPr="006B4C34" w:rsidRDefault="006B4C34" w:rsidP="007C133F">
            <w:pPr>
              <w:jc w:val="right"/>
              <w:rPr>
                <w:rFonts w:ascii="Arial" w:hAnsi="Arial" w:cs="Arial"/>
                <w:color w:val="000000"/>
              </w:rPr>
            </w:pPr>
            <w:r w:rsidRPr="006B4C34">
              <w:rPr>
                <w:rFonts w:ascii="Arial" w:hAnsi="Arial" w:cs="Arial"/>
                <w:color w:val="000000"/>
              </w:rPr>
              <w:t>1.4106</w:t>
            </w:r>
          </w:p>
        </w:tc>
        <w:tc>
          <w:tcPr>
            <w:tcW w:w="1554" w:type="dxa"/>
            <w:tcBorders>
              <w:top w:val="nil"/>
              <w:left w:val="nil"/>
              <w:bottom w:val="single" w:sz="4" w:space="0" w:color="auto"/>
              <w:right w:val="single" w:sz="4" w:space="0" w:color="auto"/>
            </w:tcBorders>
            <w:shd w:val="clear" w:color="000000" w:fill="FFFFFF"/>
          </w:tcPr>
          <w:p w:rsidR="006B4C34" w:rsidRPr="006B4C34" w:rsidRDefault="006B4C34" w:rsidP="007C133F">
            <w:pPr>
              <w:jc w:val="right"/>
              <w:rPr>
                <w:rFonts w:ascii="Arial" w:hAnsi="Arial" w:cs="Arial"/>
                <w:color w:val="000000"/>
              </w:rPr>
            </w:pPr>
            <w:r w:rsidRPr="006B4C34">
              <w:rPr>
                <w:rFonts w:ascii="Arial" w:hAnsi="Arial" w:cs="Arial"/>
                <w:color w:val="000000"/>
              </w:rPr>
              <w:t>1.1384</w:t>
            </w:r>
          </w:p>
        </w:tc>
        <w:tc>
          <w:tcPr>
            <w:tcW w:w="1554" w:type="dxa"/>
            <w:tcBorders>
              <w:top w:val="nil"/>
              <w:left w:val="nil"/>
              <w:bottom w:val="single" w:sz="4" w:space="0" w:color="auto"/>
              <w:right w:val="single" w:sz="4" w:space="0" w:color="auto"/>
            </w:tcBorders>
            <w:shd w:val="clear" w:color="000000" w:fill="FFFFFF"/>
          </w:tcPr>
          <w:p w:rsidR="006B4C34" w:rsidRPr="006B4C34" w:rsidRDefault="006B4C34" w:rsidP="003A750D">
            <w:pPr>
              <w:jc w:val="right"/>
              <w:rPr>
                <w:rFonts w:ascii="Arial" w:hAnsi="Arial" w:cs="Arial"/>
                <w:color w:val="000000"/>
              </w:rPr>
            </w:pPr>
            <w:r w:rsidRPr="006B4C34">
              <w:rPr>
                <w:rFonts w:ascii="Arial" w:hAnsi="Arial" w:cs="Arial"/>
                <w:color w:val="000000"/>
              </w:rPr>
              <w:t>-8,136.04</w:t>
            </w:r>
          </w:p>
        </w:tc>
        <w:tc>
          <w:tcPr>
            <w:tcW w:w="1554" w:type="dxa"/>
            <w:tcBorders>
              <w:top w:val="nil"/>
              <w:left w:val="nil"/>
              <w:bottom w:val="single" w:sz="4" w:space="0" w:color="auto"/>
              <w:right w:val="single" w:sz="4" w:space="0" w:color="auto"/>
            </w:tcBorders>
            <w:shd w:val="clear" w:color="000000" w:fill="FFFFFF"/>
          </w:tcPr>
          <w:p w:rsidR="006B4C34" w:rsidRPr="006B4C34" w:rsidRDefault="006B4C34" w:rsidP="003A750D">
            <w:pPr>
              <w:jc w:val="right"/>
              <w:rPr>
                <w:rFonts w:ascii="Arial" w:hAnsi="Arial" w:cs="Arial"/>
                <w:color w:val="000000"/>
              </w:rPr>
            </w:pPr>
            <w:r w:rsidRPr="006B4C34">
              <w:rPr>
                <w:rFonts w:ascii="Arial" w:hAnsi="Arial" w:cs="Arial"/>
                <w:color w:val="000000"/>
              </w:rPr>
              <w:t>-3,488.46</w:t>
            </w:r>
          </w:p>
        </w:tc>
      </w:tr>
      <w:tr w:rsidR="006B4C34" w:rsidRPr="007C133F" w:rsidTr="006B4C34">
        <w:trPr>
          <w:trHeight w:val="300"/>
        </w:trPr>
        <w:tc>
          <w:tcPr>
            <w:tcW w:w="1580" w:type="dxa"/>
            <w:tcBorders>
              <w:top w:val="nil"/>
              <w:left w:val="single" w:sz="4" w:space="0" w:color="auto"/>
              <w:bottom w:val="single" w:sz="4" w:space="0" w:color="auto"/>
              <w:right w:val="single" w:sz="4" w:space="0" w:color="auto"/>
            </w:tcBorders>
            <w:shd w:val="clear" w:color="000000" w:fill="0066CC"/>
            <w:hideMark/>
          </w:tcPr>
          <w:p w:rsidR="006B4C34" w:rsidRPr="006B4C34" w:rsidRDefault="006B4C34" w:rsidP="007C133F">
            <w:pPr>
              <w:rPr>
                <w:rFonts w:ascii="Arial" w:hAnsi="Arial" w:cs="Arial"/>
                <w:b/>
                <w:bCs/>
                <w:color w:val="FFFFFF"/>
              </w:rPr>
            </w:pPr>
            <w:r w:rsidRPr="006B4C34">
              <w:rPr>
                <w:rFonts w:ascii="Arial" w:hAnsi="Arial" w:cs="Arial"/>
                <w:b/>
                <w:bCs/>
                <w:color w:val="FFFFFF"/>
              </w:rPr>
              <w:t>Pay Gap %</w:t>
            </w:r>
          </w:p>
        </w:tc>
        <w:tc>
          <w:tcPr>
            <w:tcW w:w="1554" w:type="dxa"/>
            <w:tcBorders>
              <w:top w:val="nil"/>
              <w:left w:val="nil"/>
              <w:bottom w:val="single" w:sz="4" w:space="0" w:color="auto"/>
              <w:right w:val="single" w:sz="4" w:space="0" w:color="auto"/>
            </w:tcBorders>
            <w:shd w:val="clear" w:color="000000" w:fill="FFFFFF"/>
            <w:hideMark/>
          </w:tcPr>
          <w:p w:rsidR="006B4C34" w:rsidRPr="006B4C34" w:rsidRDefault="006B4C34" w:rsidP="007C133F">
            <w:pPr>
              <w:jc w:val="right"/>
              <w:rPr>
                <w:rFonts w:ascii="Arial" w:hAnsi="Arial" w:cs="Arial"/>
                <w:color w:val="000000"/>
              </w:rPr>
            </w:pPr>
            <w:r w:rsidRPr="006B4C34">
              <w:rPr>
                <w:rFonts w:ascii="Arial" w:hAnsi="Arial" w:cs="Arial"/>
                <w:color w:val="000000"/>
              </w:rPr>
              <w:t>9.0210</w:t>
            </w:r>
          </w:p>
        </w:tc>
        <w:tc>
          <w:tcPr>
            <w:tcW w:w="1554" w:type="dxa"/>
            <w:tcBorders>
              <w:top w:val="nil"/>
              <w:left w:val="nil"/>
              <w:bottom w:val="single" w:sz="4" w:space="0" w:color="auto"/>
              <w:right w:val="single" w:sz="4" w:space="0" w:color="auto"/>
            </w:tcBorders>
            <w:shd w:val="clear" w:color="000000" w:fill="FFFFFF"/>
          </w:tcPr>
          <w:p w:rsidR="006B4C34" w:rsidRPr="006B4C34" w:rsidRDefault="006B4C34" w:rsidP="007C133F">
            <w:pPr>
              <w:jc w:val="right"/>
              <w:rPr>
                <w:rFonts w:ascii="Arial" w:hAnsi="Arial" w:cs="Arial"/>
                <w:color w:val="000000"/>
              </w:rPr>
            </w:pPr>
            <w:r w:rsidRPr="006B4C34">
              <w:rPr>
                <w:rFonts w:ascii="Arial" w:hAnsi="Arial" w:cs="Arial"/>
                <w:color w:val="000000"/>
              </w:rPr>
              <w:t>8.2988</w:t>
            </w:r>
          </w:p>
        </w:tc>
        <w:tc>
          <w:tcPr>
            <w:tcW w:w="1554" w:type="dxa"/>
            <w:tcBorders>
              <w:top w:val="nil"/>
              <w:left w:val="nil"/>
              <w:bottom w:val="single" w:sz="4" w:space="0" w:color="auto"/>
              <w:right w:val="single" w:sz="4" w:space="0" w:color="auto"/>
            </w:tcBorders>
            <w:shd w:val="clear" w:color="000000" w:fill="FFFFFF"/>
          </w:tcPr>
          <w:p w:rsidR="006B4C34" w:rsidRPr="006B4C34" w:rsidRDefault="006B4C34" w:rsidP="003A750D">
            <w:pPr>
              <w:jc w:val="right"/>
              <w:rPr>
                <w:rFonts w:ascii="Arial" w:hAnsi="Arial" w:cs="Arial"/>
                <w:color w:val="000000"/>
              </w:rPr>
            </w:pPr>
            <w:r w:rsidRPr="006B4C34">
              <w:rPr>
                <w:rFonts w:ascii="Arial" w:hAnsi="Arial" w:cs="Arial"/>
                <w:color w:val="000000"/>
              </w:rPr>
              <w:t>-101.92</w:t>
            </w:r>
          </w:p>
        </w:tc>
        <w:tc>
          <w:tcPr>
            <w:tcW w:w="1554" w:type="dxa"/>
            <w:tcBorders>
              <w:top w:val="nil"/>
              <w:left w:val="nil"/>
              <w:bottom w:val="single" w:sz="4" w:space="0" w:color="auto"/>
              <w:right w:val="single" w:sz="4" w:space="0" w:color="auto"/>
            </w:tcBorders>
            <w:shd w:val="clear" w:color="000000" w:fill="FFFFFF"/>
          </w:tcPr>
          <w:p w:rsidR="006B4C34" w:rsidRPr="006B4C34" w:rsidRDefault="006B4C34" w:rsidP="003A750D">
            <w:pPr>
              <w:jc w:val="right"/>
              <w:rPr>
                <w:rFonts w:ascii="Arial" w:hAnsi="Arial" w:cs="Arial"/>
                <w:color w:val="000000"/>
              </w:rPr>
            </w:pPr>
            <w:r w:rsidRPr="006B4C34">
              <w:rPr>
                <w:rFonts w:ascii="Arial" w:hAnsi="Arial" w:cs="Arial"/>
                <w:color w:val="000000"/>
              </w:rPr>
              <w:t>-51.07</w:t>
            </w:r>
          </w:p>
        </w:tc>
      </w:tr>
    </w:tbl>
    <w:p w:rsidR="007C133F" w:rsidRPr="006B4C34" w:rsidRDefault="006B4C34" w:rsidP="007C133F">
      <w:pPr>
        <w:spacing w:before="100" w:beforeAutospacing="1" w:after="100" w:afterAutospacing="1"/>
        <w:rPr>
          <w:rFonts w:ascii="Arial" w:hAnsi="Arial" w:cs="Arial"/>
          <w:b/>
          <w:lang w:val="en"/>
        </w:rPr>
      </w:pPr>
      <w:r w:rsidRPr="006B4C34">
        <w:rPr>
          <w:rFonts w:ascii="Arial" w:hAnsi="Arial" w:cs="Arial"/>
          <w:b/>
          <w:lang w:val="en"/>
        </w:rPr>
        <w:t>Females</w:t>
      </w:r>
      <w:r w:rsidR="007C133F" w:rsidRPr="006B4C34">
        <w:rPr>
          <w:rFonts w:ascii="Arial" w:hAnsi="Arial" w:cs="Arial"/>
          <w:b/>
          <w:lang w:val="en"/>
        </w:rPr>
        <w:t xml:space="preserve"> receiving a bonus</w:t>
      </w:r>
    </w:p>
    <w:tbl>
      <w:tblPr>
        <w:tblW w:w="5120" w:type="dxa"/>
        <w:tblInd w:w="93" w:type="dxa"/>
        <w:tblLook w:val="04A0" w:firstRow="1" w:lastRow="0" w:firstColumn="1" w:lastColumn="0" w:noHBand="0" w:noVBand="1"/>
      </w:tblPr>
      <w:tblGrid>
        <w:gridCol w:w="1057"/>
        <w:gridCol w:w="1626"/>
        <w:gridCol w:w="1753"/>
        <w:gridCol w:w="684"/>
      </w:tblGrid>
      <w:tr w:rsidR="007C133F" w:rsidRPr="006B4C34" w:rsidTr="007C133F">
        <w:trPr>
          <w:trHeight w:val="300"/>
        </w:trPr>
        <w:tc>
          <w:tcPr>
            <w:tcW w:w="720" w:type="dxa"/>
            <w:tcBorders>
              <w:top w:val="single" w:sz="4" w:space="0" w:color="979991"/>
              <w:left w:val="single" w:sz="4" w:space="0" w:color="979991"/>
              <w:bottom w:val="nil"/>
              <w:right w:val="nil"/>
            </w:tcBorders>
            <w:shd w:val="clear" w:color="000000" w:fill="0066CC"/>
            <w:hideMark/>
          </w:tcPr>
          <w:p w:rsidR="007C133F" w:rsidRPr="006B4C34" w:rsidRDefault="007C133F" w:rsidP="007C133F">
            <w:pPr>
              <w:rPr>
                <w:rFonts w:ascii="Arial" w:hAnsi="Arial" w:cs="Arial"/>
                <w:b/>
                <w:bCs/>
                <w:color w:val="FFFFFF"/>
              </w:rPr>
            </w:pPr>
            <w:r w:rsidRPr="006B4C34">
              <w:rPr>
                <w:rFonts w:ascii="Arial" w:hAnsi="Arial" w:cs="Arial"/>
                <w:b/>
                <w:bCs/>
                <w:color w:val="FFFFFF"/>
              </w:rPr>
              <w:t>Gender</w:t>
            </w:r>
          </w:p>
        </w:tc>
        <w:tc>
          <w:tcPr>
            <w:tcW w:w="1840" w:type="dxa"/>
            <w:tcBorders>
              <w:top w:val="single" w:sz="4" w:space="0" w:color="979991"/>
              <w:left w:val="single" w:sz="4" w:space="0" w:color="979991"/>
              <w:bottom w:val="single" w:sz="4" w:space="0" w:color="979991"/>
              <w:right w:val="nil"/>
            </w:tcBorders>
            <w:shd w:val="clear" w:color="000000" w:fill="0066CC"/>
            <w:hideMark/>
          </w:tcPr>
          <w:p w:rsidR="007C133F" w:rsidRPr="006B4C34" w:rsidRDefault="007C133F" w:rsidP="007C133F">
            <w:pPr>
              <w:rPr>
                <w:rFonts w:ascii="Arial" w:hAnsi="Arial" w:cs="Arial"/>
                <w:b/>
                <w:bCs/>
                <w:color w:val="FFFFFF"/>
              </w:rPr>
            </w:pPr>
            <w:r w:rsidRPr="006B4C34">
              <w:rPr>
                <w:rFonts w:ascii="Arial" w:hAnsi="Arial" w:cs="Arial"/>
                <w:b/>
                <w:bCs/>
                <w:color w:val="FFFFFF"/>
              </w:rPr>
              <w:t>Employees Paid Bonus</w:t>
            </w:r>
          </w:p>
        </w:tc>
        <w:tc>
          <w:tcPr>
            <w:tcW w:w="2160" w:type="dxa"/>
            <w:tcBorders>
              <w:top w:val="single" w:sz="4" w:space="0" w:color="979991"/>
              <w:left w:val="single" w:sz="4" w:space="0" w:color="979991"/>
              <w:bottom w:val="single" w:sz="4" w:space="0" w:color="979991"/>
              <w:right w:val="nil"/>
            </w:tcBorders>
            <w:shd w:val="clear" w:color="000000" w:fill="0066CC"/>
            <w:hideMark/>
          </w:tcPr>
          <w:p w:rsidR="007C133F" w:rsidRPr="006B4C34" w:rsidRDefault="007C133F" w:rsidP="007C133F">
            <w:pPr>
              <w:rPr>
                <w:rFonts w:ascii="Arial" w:hAnsi="Arial" w:cs="Arial"/>
                <w:b/>
                <w:bCs/>
                <w:color w:val="FFFFFF"/>
              </w:rPr>
            </w:pPr>
            <w:r w:rsidRPr="006B4C34">
              <w:rPr>
                <w:rFonts w:ascii="Arial" w:hAnsi="Arial" w:cs="Arial"/>
                <w:b/>
                <w:bCs/>
                <w:color w:val="FFFFFF"/>
              </w:rPr>
              <w:t>Total Relevant Employees</w:t>
            </w:r>
          </w:p>
        </w:tc>
        <w:tc>
          <w:tcPr>
            <w:tcW w:w="400" w:type="dxa"/>
            <w:tcBorders>
              <w:top w:val="single" w:sz="4" w:space="0" w:color="979991"/>
              <w:left w:val="single" w:sz="4" w:space="0" w:color="979991"/>
              <w:bottom w:val="single" w:sz="4" w:space="0" w:color="979991"/>
              <w:right w:val="single" w:sz="4" w:space="0" w:color="979991"/>
            </w:tcBorders>
            <w:shd w:val="clear" w:color="000000" w:fill="0066CC"/>
            <w:hideMark/>
          </w:tcPr>
          <w:p w:rsidR="007C133F" w:rsidRPr="006B4C34" w:rsidRDefault="007C133F" w:rsidP="007C133F">
            <w:pPr>
              <w:rPr>
                <w:rFonts w:ascii="Arial" w:hAnsi="Arial" w:cs="Arial"/>
                <w:b/>
                <w:bCs/>
                <w:color w:val="FFFFFF"/>
              </w:rPr>
            </w:pPr>
            <w:r w:rsidRPr="006B4C34">
              <w:rPr>
                <w:rFonts w:ascii="Arial" w:hAnsi="Arial" w:cs="Arial"/>
                <w:b/>
                <w:bCs/>
                <w:color w:val="FFFFFF"/>
              </w:rPr>
              <w:t>%</w:t>
            </w:r>
          </w:p>
        </w:tc>
      </w:tr>
      <w:tr w:rsidR="007C133F" w:rsidRPr="006B4C34" w:rsidTr="007C133F">
        <w:trPr>
          <w:trHeight w:val="300"/>
        </w:trPr>
        <w:tc>
          <w:tcPr>
            <w:tcW w:w="720" w:type="dxa"/>
            <w:tcBorders>
              <w:top w:val="single" w:sz="4" w:space="0" w:color="979991"/>
              <w:left w:val="single" w:sz="4" w:space="0" w:color="979991"/>
              <w:bottom w:val="single" w:sz="4" w:space="0" w:color="979991"/>
              <w:right w:val="nil"/>
            </w:tcBorders>
            <w:shd w:val="clear" w:color="000000" w:fill="0066CC"/>
            <w:hideMark/>
          </w:tcPr>
          <w:p w:rsidR="007C133F" w:rsidRPr="006B4C34" w:rsidRDefault="007C133F" w:rsidP="007C133F">
            <w:pPr>
              <w:rPr>
                <w:rFonts w:ascii="Arial" w:hAnsi="Arial" w:cs="Arial"/>
                <w:b/>
                <w:bCs/>
                <w:color w:val="FFFFFF"/>
              </w:rPr>
            </w:pPr>
            <w:r w:rsidRPr="006B4C34">
              <w:rPr>
                <w:rFonts w:ascii="Arial" w:hAnsi="Arial" w:cs="Arial"/>
                <w:b/>
                <w:bCs/>
                <w:color w:val="FFFFFF"/>
              </w:rPr>
              <w:t>Female</w:t>
            </w:r>
          </w:p>
        </w:tc>
        <w:tc>
          <w:tcPr>
            <w:tcW w:w="1840" w:type="dxa"/>
            <w:tcBorders>
              <w:top w:val="nil"/>
              <w:left w:val="single" w:sz="4" w:space="0" w:color="979991"/>
              <w:bottom w:val="single" w:sz="4" w:space="0" w:color="979991"/>
              <w:right w:val="nil"/>
            </w:tcBorders>
            <w:shd w:val="clear" w:color="000000" w:fill="FFFFFF"/>
            <w:hideMark/>
          </w:tcPr>
          <w:p w:rsidR="007C133F" w:rsidRPr="006B4C34" w:rsidRDefault="007C133F" w:rsidP="007C133F">
            <w:pPr>
              <w:jc w:val="right"/>
              <w:rPr>
                <w:rFonts w:ascii="Arial" w:hAnsi="Arial" w:cs="Arial"/>
                <w:color w:val="000000"/>
              </w:rPr>
            </w:pPr>
            <w:r w:rsidRPr="006B4C34">
              <w:rPr>
                <w:rFonts w:ascii="Arial" w:hAnsi="Arial" w:cs="Arial"/>
                <w:color w:val="000000"/>
              </w:rPr>
              <w:t>6.00</w:t>
            </w:r>
          </w:p>
        </w:tc>
        <w:tc>
          <w:tcPr>
            <w:tcW w:w="2160" w:type="dxa"/>
            <w:tcBorders>
              <w:top w:val="nil"/>
              <w:left w:val="single" w:sz="4" w:space="0" w:color="979991"/>
              <w:bottom w:val="single" w:sz="4" w:space="0" w:color="979991"/>
              <w:right w:val="nil"/>
            </w:tcBorders>
            <w:shd w:val="clear" w:color="000000" w:fill="FFFFFF"/>
            <w:hideMark/>
          </w:tcPr>
          <w:p w:rsidR="007C133F" w:rsidRPr="006B4C34" w:rsidRDefault="007C133F" w:rsidP="007C133F">
            <w:pPr>
              <w:jc w:val="right"/>
              <w:rPr>
                <w:rFonts w:ascii="Arial" w:hAnsi="Arial" w:cs="Arial"/>
                <w:color w:val="000000"/>
              </w:rPr>
            </w:pPr>
            <w:r w:rsidRPr="006B4C34">
              <w:rPr>
                <w:rFonts w:ascii="Arial" w:hAnsi="Arial" w:cs="Arial"/>
                <w:color w:val="000000"/>
              </w:rPr>
              <w:t>4849.00</w:t>
            </w:r>
          </w:p>
        </w:tc>
        <w:tc>
          <w:tcPr>
            <w:tcW w:w="400" w:type="dxa"/>
            <w:tcBorders>
              <w:top w:val="nil"/>
              <w:left w:val="single" w:sz="4" w:space="0" w:color="979991"/>
              <w:bottom w:val="single" w:sz="4" w:space="0" w:color="979991"/>
              <w:right w:val="single" w:sz="4" w:space="0" w:color="979991"/>
            </w:tcBorders>
            <w:shd w:val="clear" w:color="000000" w:fill="FFFFFF"/>
            <w:hideMark/>
          </w:tcPr>
          <w:p w:rsidR="007C133F" w:rsidRPr="006B4C34" w:rsidRDefault="007C133F" w:rsidP="007C133F">
            <w:pPr>
              <w:jc w:val="right"/>
              <w:rPr>
                <w:rFonts w:ascii="Arial" w:hAnsi="Arial" w:cs="Arial"/>
                <w:color w:val="000000"/>
              </w:rPr>
            </w:pPr>
            <w:r w:rsidRPr="006B4C34">
              <w:rPr>
                <w:rFonts w:ascii="Arial" w:hAnsi="Arial" w:cs="Arial"/>
                <w:color w:val="000000"/>
              </w:rPr>
              <w:t>0.12</w:t>
            </w:r>
          </w:p>
        </w:tc>
      </w:tr>
      <w:tr w:rsidR="007C133F" w:rsidRPr="006B4C34" w:rsidTr="007C133F">
        <w:trPr>
          <w:trHeight w:val="300"/>
        </w:trPr>
        <w:tc>
          <w:tcPr>
            <w:tcW w:w="720" w:type="dxa"/>
            <w:tcBorders>
              <w:top w:val="nil"/>
              <w:left w:val="single" w:sz="4" w:space="0" w:color="979991"/>
              <w:bottom w:val="single" w:sz="4" w:space="0" w:color="979991"/>
              <w:right w:val="nil"/>
            </w:tcBorders>
            <w:shd w:val="clear" w:color="000000" w:fill="0066CC"/>
            <w:hideMark/>
          </w:tcPr>
          <w:p w:rsidR="007C133F" w:rsidRPr="006B4C34" w:rsidRDefault="007C133F" w:rsidP="007C133F">
            <w:pPr>
              <w:rPr>
                <w:rFonts w:ascii="Arial" w:hAnsi="Arial" w:cs="Arial"/>
                <w:b/>
                <w:bCs/>
                <w:color w:val="FFFFFF"/>
              </w:rPr>
            </w:pPr>
            <w:r w:rsidRPr="006B4C34">
              <w:rPr>
                <w:rFonts w:ascii="Arial" w:hAnsi="Arial" w:cs="Arial"/>
                <w:b/>
                <w:bCs/>
                <w:color w:val="FFFFFF"/>
              </w:rPr>
              <w:t>Male</w:t>
            </w:r>
          </w:p>
        </w:tc>
        <w:tc>
          <w:tcPr>
            <w:tcW w:w="1840" w:type="dxa"/>
            <w:tcBorders>
              <w:top w:val="nil"/>
              <w:left w:val="single" w:sz="4" w:space="0" w:color="979991"/>
              <w:bottom w:val="single" w:sz="4" w:space="0" w:color="979991"/>
              <w:right w:val="nil"/>
            </w:tcBorders>
            <w:shd w:val="clear" w:color="000000" w:fill="FFFFFF"/>
            <w:hideMark/>
          </w:tcPr>
          <w:p w:rsidR="007C133F" w:rsidRPr="006B4C34" w:rsidRDefault="007C133F" w:rsidP="007C133F">
            <w:pPr>
              <w:jc w:val="right"/>
              <w:rPr>
                <w:rFonts w:ascii="Arial" w:hAnsi="Arial" w:cs="Arial"/>
                <w:color w:val="000000"/>
              </w:rPr>
            </w:pPr>
            <w:r w:rsidRPr="006B4C34">
              <w:rPr>
                <w:rFonts w:ascii="Arial" w:hAnsi="Arial" w:cs="Arial"/>
                <w:color w:val="000000"/>
              </w:rPr>
              <w:t>3.00</w:t>
            </w:r>
          </w:p>
        </w:tc>
        <w:tc>
          <w:tcPr>
            <w:tcW w:w="2160" w:type="dxa"/>
            <w:tcBorders>
              <w:top w:val="nil"/>
              <w:left w:val="single" w:sz="4" w:space="0" w:color="979991"/>
              <w:bottom w:val="single" w:sz="4" w:space="0" w:color="979991"/>
              <w:right w:val="nil"/>
            </w:tcBorders>
            <w:shd w:val="clear" w:color="000000" w:fill="FFFFFF"/>
            <w:hideMark/>
          </w:tcPr>
          <w:p w:rsidR="007C133F" w:rsidRPr="006B4C34" w:rsidRDefault="007C133F" w:rsidP="007C133F">
            <w:pPr>
              <w:jc w:val="right"/>
              <w:rPr>
                <w:rFonts w:ascii="Arial" w:hAnsi="Arial" w:cs="Arial"/>
                <w:color w:val="000000"/>
              </w:rPr>
            </w:pPr>
            <w:r w:rsidRPr="006B4C34">
              <w:rPr>
                <w:rFonts w:ascii="Arial" w:hAnsi="Arial" w:cs="Arial"/>
                <w:color w:val="000000"/>
              </w:rPr>
              <w:t>575.00</w:t>
            </w:r>
          </w:p>
        </w:tc>
        <w:tc>
          <w:tcPr>
            <w:tcW w:w="400" w:type="dxa"/>
            <w:tcBorders>
              <w:top w:val="nil"/>
              <w:left w:val="single" w:sz="4" w:space="0" w:color="979991"/>
              <w:bottom w:val="single" w:sz="4" w:space="0" w:color="979991"/>
              <w:right w:val="single" w:sz="4" w:space="0" w:color="979991"/>
            </w:tcBorders>
            <w:shd w:val="clear" w:color="000000" w:fill="FFFFFF"/>
            <w:hideMark/>
          </w:tcPr>
          <w:p w:rsidR="007C133F" w:rsidRPr="006B4C34" w:rsidRDefault="007C133F" w:rsidP="007C133F">
            <w:pPr>
              <w:jc w:val="right"/>
              <w:rPr>
                <w:rFonts w:ascii="Arial" w:hAnsi="Arial" w:cs="Arial"/>
                <w:color w:val="000000"/>
              </w:rPr>
            </w:pPr>
            <w:r w:rsidRPr="006B4C34">
              <w:rPr>
                <w:rFonts w:ascii="Arial" w:hAnsi="Arial" w:cs="Arial"/>
                <w:color w:val="000000"/>
              </w:rPr>
              <w:t>0.52</w:t>
            </w:r>
          </w:p>
        </w:tc>
      </w:tr>
    </w:tbl>
    <w:p w:rsidR="007C133F" w:rsidRPr="006B4C34" w:rsidRDefault="007C133F" w:rsidP="007C133F">
      <w:pPr>
        <w:spacing w:after="200" w:line="276" w:lineRule="auto"/>
        <w:rPr>
          <w:rFonts w:ascii="Arial" w:eastAsia="Calibri" w:hAnsi="Arial" w:cs="Arial"/>
          <w:lang w:eastAsia="en-US"/>
        </w:rPr>
      </w:pPr>
    </w:p>
    <w:p w:rsidR="007C133F" w:rsidRPr="006B4C34" w:rsidRDefault="007C133F" w:rsidP="007C133F">
      <w:pPr>
        <w:spacing w:after="200" w:line="276" w:lineRule="auto"/>
        <w:rPr>
          <w:rFonts w:ascii="Arial" w:eastAsia="Calibri" w:hAnsi="Arial" w:cs="Arial"/>
          <w:lang w:eastAsia="en-US"/>
        </w:rPr>
      </w:pPr>
      <w:r w:rsidRPr="006B4C34">
        <w:rPr>
          <w:rFonts w:ascii="Arial" w:eastAsia="Calibri" w:hAnsi="Arial" w:cs="Arial"/>
          <w:lang w:eastAsia="en-US"/>
        </w:rPr>
        <w:t>This is the proportion of relevant employees paid a bonus against the total number of relevant employees for the organisation as a whole.</w:t>
      </w:r>
    </w:p>
    <w:p w:rsidR="007C133F" w:rsidRPr="006B4C34" w:rsidRDefault="007C133F" w:rsidP="007C133F">
      <w:pPr>
        <w:spacing w:before="100" w:beforeAutospacing="1" w:after="100" w:afterAutospacing="1"/>
        <w:rPr>
          <w:rFonts w:ascii="Arial" w:hAnsi="Arial" w:cs="Arial"/>
          <w:b/>
          <w:lang w:val="en"/>
        </w:rPr>
      </w:pPr>
      <w:r w:rsidRPr="006B4C34">
        <w:rPr>
          <w:rFonts w:ascii="Arial" w:hAnsi="Arial" w:cs="Arial"/>
          <w:b/>
          <w:lang w:val="en"/>
        </w:rPr>
        <w:t>Proportion of males and females in each pay quartile</w:t>
      </w:r>
    </w:p>
    <w:tbl>
      <w:tblPr>
        <w:tblW w:w="6960" w:type="dxa"/>
        <w:tblInd w:w="93" w:type="dxa"/>
        <w:tblLook w:val="04A0" w:firstRow="1" w:lastRow="0" w:firstColumn="1" w:lastColumn="0" w:noHBand="0" w:noVBand="1"/>
      </w:tblPr>
      <w:tblGrid>
        <w:gridCol w:w="3064"/>
        <w:gridCol w:w="1084"/>
        <w:gridCol w:w="951"/>
        <w:gridCol w:w="1044"/>
        <w:gridCol w:w="817"/>
      </w:tblGrid>
      <w:tr w:rsidR="007C133F" w:rsidRPr="006B4C34" w:rsidTr="007C133F">
        <w:trPr>
          <w:trHeight w:val="300"/>
        </w:trPr>
        <w:tc>
          <w:tcPr>
            <w:tcW w:w="3600" w:type="dxa"/>
            <w:tcBorders>
              <w:top w:val="single" w:sz="4" w:space="0" w:color="979991"/>
              <w:left w:val="single" w:sz="4" w:space="0" w:color="979991"/>
              <w:bottom w:val="nil"/>
              <w:right w:val="nil"/>
            </w:tcBorders>
            <w:shd w:val="clear" w:color="000000" w:fill="0066CC"/>
            <w:hideMark/>
          </w:tcPr>
          <w:p w:rsidR="007C133F" w:rsidRPr="006B4C34" w:rsidRDefault="007C133F" w:rsidP="007C133F">
            <w:pPr>
              <w:rPr>
                <w:rFonts w:ascii="Arial" w:hAnsi="Arial" w:cs="Arial"/>
                <w:b/>
                <w:bCs/>
                <w:color w:val="FFFFFF"/>
              </w:rPr>
            </w:pPr>
            <w:r w:rsidRPr="006B4C34">
              <w:rPr>
                <w:rFonts w:ascii="Arial" w:hAnsi="Arial" w:cs="Arial"/>
                <w:b/>
                <w:bCs/>
                <w:color w:val="FFFFFF"/>
              </w:rPr>
              <w:t>Quartile</w:t>
            </w:r>
          </w:p>
        </w:tc>
        <w:tc>
          <w:tcPr>
            <w:tcW w:w="1040" w:type="dxa"/>
            <w:tcBorders>
              <w:top w:val="single" w:sz="4" w:space="0" w:color="979991"/>
              <w:left w:val="single" w:sz="4" w:space="0" w:color="979991"/>
              <w:bottom w:val="single" w:sz="4" w:space="0" w:color="979991"/>
              <w:right w:val="nil"/>
            </w:tcBorders>
            <w:shd w:val="clear" w:color="000000" w:fill="0066CC"/>
            <w:hideMark/>
          </w:tcPr>
          <w:p w:rsidR="007C133F" w:rsidRPr="006B4C34" w:rsidRDefault="007C133F" w:rsidP="007C133F">
            <w:pPr>
              <w:rPr>
                <w:rFonts w:ascii="Arial" w:hAnsi="Arial" w:cs="Arial"/>
                <w:b/>
                <w:bCs/>
                <w:color w:val="FFFFFF"/>
              </w:rPr>
            </w:pPr>
            <w:r w:rsidRPr="006B4C34">
              <w:rPr>
                <w:rFonts w:ascii="Arial" w:hAnsi="Arial" w:cs="Arial"/>
                <w:b/>
                <w:bCs/>
                <w:color w:val="FFFFFF"/>
              </w:rPr>
              <w:t>Female</w:t>
            </w:r>
          </w:p>
        </w:tc>
        <w:tc>
          <w:tcPr>
            <w:tcW w:w="760" w:type="dxa"/>
            <w:tcBorders>
              <w:top w:val="single" w:sz="4" w:space="0" w:color="979991"/>
              <w:left w:val="single" w:sz="4" w:space="0" w:color="979991"/>
              <w:bottom w:val="single" w:sz="4" w:space="0" w:color="979991"/>
              <w:right w:val="nil"/>
            </w:tcBorders>
            <w:shd w:val="clear" w:color="000000" w:fill="0066CC"/>
            <w:hideMark/>
          </w:tcPr>
          <w:p w:rsidR="007C133F" w:rsidRPr="006B4C34" w:rsidRDefault="007C133F" w:rsidP="007C133F">
            <w:pPr>
              <w:rPr>
                <w:rFonts w:ascii="Arial" w:hAnsi="Arial" w:cs="Arial"/>
                <w:b/>
                <w:bCs/>
                <w:color w:val="FFFFFF"/>
              </w:rPr>
            </w:pPr>
            <w:r w:rsidRPr="006B4C34">
              <w:rPr>
                <w:rFonts w:ascii="Arial" w:hAnsi="Arial" w:cs="Arial"/>
                <w:b/>
                <w:bCs/>
                <w:color w:val="FFFFFF"/>
              </w:rPr>
              <w:t>Male</w:t>
            </w:r>
          </w:p>
        </w:tc>
        <w:tc>
          <w:tcPr>
            <w:tcW w:w="880" w:type="dxa"/>
            <w:tcBorders>
              <w:top w:val="single" w:sz="4" w:space="0" w:color="979991"/>
              <w:left w:val="single" w:sz="4" w:space="0" w:color="979991"/>
              <w:bottom w:val="single" w:sz="4" w:space="0" w:color="979991"/>
              <w:right w:val="nil"/>
            </w:tcBorders>
            <w:shd w:val="clear" w:color="000000" w:fill="0066CC"/>
            <w:hideMark/>
          </w:tcPr>
          <w:p w:rsidR="007C133F" w:rsidRPr="006B4C34" w:rsidRDefault="007C133F" w:rsidP="007C133F">
            <w:pPr>
              <w:rPr>
                <w:rFonts w:ascii="Arial" w:hAnsi="Arial" w:cs="Arial"/>
                <w:b/>
                <w:bCs/>
                <w:color w:val="FFFFFF"/>
              </w:rPr>
            </w:pPr>
            <w:r w:rsidRPr="006B4C34">
              <w:rPr>
                <w:rFonts w:ascii="Arial" w:hAnsi="Arial" w:cs="Arial"/>
                <w:b/>
                <w:bCs/>
                <w:color w:val="FFFFFF"/>
              </w:rPr>
              <w:t>Female %</w:t>
            </w:r>
          </w:p>
        </w:tc>
        <w:tc>
          <w:tcPr>
            <w:tcW w:w="680" w:type="dxa"/>
            <w:tcBorders>
              <w:top w:val="single" w:sz="4" w:space="0" w:color="979991"/>
              <w:left w:val="single" w:sz="4" w:space="0" w:color="979991"/>
              <w:bottom w:val="single" w:sz="4" w:space="0" w:color="979991"/>
              <w:right w:val="single" w:sz="4" w:space="0" w:color="979991"/>
            </w:tcBorders>
            <w:shd w:val="clear" w:color="000000" w:fill="0066CC"/>
            <w:hideMark/>
          </w:tcPr>
          <w:p w:rsidR="007C133F" w:rsidRPr="006B4C34" w:rsidRDefault="007C133F" w:rsidP="007C133F">
            <w:pPr>
              <w:rPr>
                <w:rFonts w:ascii="Arial" w:hAnsi="Arial" w:cs="Arial"/>
                <w:b/>
                <w:bCs/>
                <w:color w:val="FFFFFF"/>
              </w:rPr>
            </w:pPr>
            <w:r w:rsidRPr="006B4C34">
              <w:rPr>
                <w:rFonts w:ascii="Arial" w:hAnsi="Arial" w:cs="Arial"/>
                <w:b/>
                <w:bCs/>
                <w:color w:val="FFFFFF"/>
              </w:rPr>
              <w:t>Male %</w:t>
            </w:r>
          </w:p>
        </w:tc>
      </w:tr>
      <w:tr w:rsidR="007C133F" w:rsidRPr="006B4C34" w:rsidTr="007C133F">
        <w:trPr>
          <w:trHeight w:val="300"/>
        </w:trPr>
        <w:tc>
          <w:tcPr>
            <w:tcW w:w="3600" w:type="dxa"/>
            <w:tcBorders>
              <w:top w:val="single" w:sz="4" w:space="0" w:color="979991"/>
              <w:left w:val="single" w:sz="4" w:space="0" w:color="979991"/>
              <w:bottom w:val="single" w:sz="4" w:space="0" w:color="979991"/>
              <w:right w:val="nil"/>
            </w:tcBorders>
            <w:shd w:val="clear" w:color="000000" w:fill="0066CC"/>
            <w:hideMark/>
          </w:tcPr>
          <w:p w:rsidR="007C133F" w:rsidRPr="006B4C34" w:rsidRDefault="007C133F" w:rsidP="007C133F">
            <w:pPr>
              <w:jc w:val="right"/>
              <w:rPr>
                <w:rFonts w:ascii="Arial" w:hAnsi="Arial" w:cs="Arial"/>
                <w:b/>
                <w:bCs/>
                <w:color w:val="FFFFFF"/>
              </w:rPr>
            </w:pPr>
            <w:r w:rsidRPr="006B4C34">
              <w:rPr>
                <w:rFonts w:ascii="Arial" w:hAnsi="Arial" w:cs="Arial"/>
                <w:b/>
                <w:bCs/>
                <w:color w:val="FFFFFF"/>
              </w:rPr>
              <w:t>1</w:t>
            </w:r>
          </w:p>
        </w:tc>
        <w:tc>
          <w:tcPr>
            <w:tcW w:w="1040" w:type="dxa"/>
            <w:tcBorders>
              <w:top w:val="nil"/>
              <w:left w:val="single" w:sz="4" w:space="0" w:color="979991"/>
              <w:bottom w:val="single" w:sz="4" w:space="0" w:color="979991"/>
              <w:right w:val="nil"/>
            </w:tcBorders>
            <w:shd w:val="clear" w:color="000000" w:fill="FFFFFF"/>
            <w:hideMark/>
          </w:tcPr>
          <w:p w:rsidR="007C133F" w:rsidRPr="006B4C34" w:rsidRDefault="007C133F" w:rsidP="007C133F">
            <w:pPr>
              <w:jc w:val="right"/>
              <w:rPr>
                <w:rFonts w:ascii="Arial" w:hAnsi="Arial" w:cs="Arial"/>
                <w:color w:val="000000"/>
              </w:rPr>
            </w:pPr>
            <w:r w:rsidRPr="006B4C34">
              <w:rPr>
                <w:rFonts w:ascii="Arial" w:hAnsi="Arial" w:cs="Arial"/>
                <w:color w:val="000000"/>
              </w:rPr>
              <w:t>1028.00</w:t>
            </w:r>
          </w:p>
        </w:tc>
        <w:tc>
          <w:tcPr>
            <w:tcW w:w="760" w:type="dxa"/>
            <w:tcBorders>
              <w:top w:val="nil"/>
              <w:left w:val="single" w:sz="4" w:space="0" w:color="979991"/>
              <w:bottom w:val="single" w:sz="4" w:space="0" w:color="979991"/>
              <w:right w:val="nil"/>
            </w:tcBorders>
            <w:shd w:val="clear" w:color="000000" w:fill="FFFFFF"/>
            <w:hideMark/>
          </w:tcPr>
          <w:p w:rsidR="007C133F" w:rsidRPr="006B4C34" w:rsidRDefault="007C133F" w:rsidP="007C133F">
            <w:pPr>
              <w:jc w:val="right"/>
              <w:rPr>
                <w:rFonts w:ascii="Arial" w:hAnsi="Arial" w:cs="Arial"/>
                <w:color w:val="000000"/>
              </w:rPr>
            </w:pPr>
            <w:r w:rsidRPr="006B4C34">
              <w:rPr>
                <w:rFonts w:ascii="Arial" w:hAnsi="Arial" w:cs="Arial"/>
                <w:color w:val="000000"/>
              </w:rPr>
              <w:t>125.00</w:t>
            </w:r>
          </w:p>
        </w:tc>
        <w:tc>
          <w:tcPr>
            <w:tcW w:w="880" w:type="dxa"/>
            <w:tcBorders>
              <w:top w:val="nil"/>
              <w:left w:val="single" w:sz="4" w:space="0" w:color="979991"/>
              <w:bottom w:val="single" w:sz="4" w:space="0" w:color="979991"/>
              <w:right w:val="nil"/>
            </w:tcBorders>
            <w:shd w:val="clear" w:color="000000" w:fill="FFFFFF"/>
            <w:hideMark/>
          </w:tcPr>
          <w:p w:rsidR="007C133F" w:rsidRPr="006B4C34" w:rsidRDefault="007C133F" w:rsidP="007C133F">
            <w:pPr>
              <w:jc w:val="right"/>
              <w:rPr>
                <w:rFonts w:ascii="Arial" w:hAnsi="Arial" w:cs="Arial"/>
                <w:color w:val="000000"/>
              </w:rPr>
            </w:pPr>
            <w:r w:rsidRPr="006B4C34">
              <w:rPr>
                <w:rFonts w:ascii="Arial" w:hAnsi="Arial" w:cs="Arial"/>
                <w:color w:val="000000"/>
              </w:rPr>
              <w:t>89.16</w:t>
            </w:r>
          </w:p>
        </w:tc>
        <w:tc>
          <w:tcPr>
            <w:tcW w:w="680" w:type="dxa"/>
            <w:tcBorders>
              <w:top w:val="nil"/>
              <w:left w:val="single" w:sz="4" w:space="0" w:color="979991"/>
              <w:bottom w:val="single" w:sz="4" w:space="0" w:color="979991"/>
              <w:right w:val="single" w:sz="4" w:space="0" w:color="979991"/>
            </w:tcBorders>
            <w:shd w:val="clear" w:color="000000" w:fill="FFFFFF"/>
            <w:hideMark/>
          </w:tcPr>
          <w:p w:rsidR="007C133F" w:rsidRPr="006B4C34" w:rsidRDefault="007C133F" w:rsidP="007C133F">
            <w:pPr>
              <w:jc w:val="right"/>
              <w:rPr>
                <w:rFonts w:ascii="Arial" w:hAnsi="Arial" w:cs="Arial"/>
                <w:color w:val="000000"/>
              </w:rPr>
            </w:pPr>
            <w:r w:rsidRPr="006B4C34">
              <w:rPr>
                <w:rFonts w:ascii="Arial" w:hAnsi="Arial" w:cs="Arial"/>
                <w:color w:val="000000"/>
              </w:rPr>
              <w:t>10.84</w:t>
            </w:r>
          </w:p>
        </w:tc>
      </w:tr>
      <w:tr w:rsidR="007C133F" w:rsidRPr="006B4C34" w:rsidTr="007C133F">
        <w:trPr>
          <w:trHeight w:val="300"/>
        </w:trPr>
        <w:tc>
          <w:tcPr>
            <w:tcW w:w="3600" w:type="dxa"/>
            <w:tcBorders>
              <w:top w:val="nil"/>
              <w:left w:val="single" w:sz="4" w:space="0" w:color="979991"/>
              <w:bottom w:val="single" w:sz="4" w:space="0" w:color="979991"/>
              <w:right w:val="nil"/>
            </w:tcBorders>
            <w:shd w:val="clear" w:color="000000" w:fill="0066CC"/>
            <w:hideMark/>
          </w:tcPr>
          <w:p w:rsidR="007C133F" w:rsidRPr="006B4C34" w:rsidRDefault="007C133F" w:rsidP="007C133F">
            <w:pPr>
              <w:jc w:val="right"/>
              <w:rPr>
                <w:rFonts w:ascii="Arial" w:hAnsi="Arial" w:cs="Arial"/>
                <w:b/>
                <w:bCs/>
                <w:color w:val="FFFFFF"/>
              </w:rPr>
            </w:pPr>
            <w:r w:rsidRPr="006B4C34">
              <w:rPr>
                <w:rFonts w:ascii="Arial" w:hAnsi="Arial" w:cs="Arial"/>
                <w:b/>
                <w:bCs/>
                <w:color w:val="FFFFFF"/>
              </w:rPr>
              <w:t>2</w:t>
            </w:r>
          </w:p>
        </w:tc>
        <w:tc>
          <w:tcPr>
            <w:tcW w:w="1040" w:type="dxa"/>
            <w:tcBorders>
              <w:top w:val="nil"/>
              <w:left w:val="single" w:sz="4" w:space="0" w:color="979991"/>
              <w:bottom w:val="single" w:sz="4" w:space="0" w:color="979991"/>
              <w:right w:val="nil"/>
            </w:tcBorders>
            <w:shd w:val="clear" w:color="000000" w:fill="FFFFFF"/>
            <w:hideMark/>
          </w:tcPr>
          <w:p w:rsidR="007C133F" w:rsidRPr="006B4C34" w:rsidRDefault="007C133F" w:rsidP="007C133F">
            <w:pPr>
              <w:jc w:val="right"/>
              <w:rPr>
                <w:rFonts w:ascii="Arial" w:hAnsi="Arial" w:cs="Arial"/>
                <w:color w:val="000000"/>
              </w:rPr>
            </w:pPr>
            <w:r w:rsidRPr="006B4C34">
              <w:rPr>
                <w:rFonts w:ascii="Arial" w:hAnsi="Arial" w:cs="Arial"/>
                <w:color w:val="000000"/>
              </w:rPr>
              <w:t>1103.00</w:t>
            </w:r>
          </w:p>
        </w:tc>
        <w:tc>
          <w:tcPr>
            <w:tcW w:w="760" w:type="dxa"/>
            <w:tcBorders>
              <w:top w:val="nil"/>
              <w:left w:val="single" w:sz="4" w:space="0" w:color="979991"/>
              <w:bottom w:val="single" w:sz="4" w:space="0" w:color="979991"/>
              <w:right w:val="nil"/>
            </w:tcBorders>
            <w:shd w:val="clear" w:color="000000" w:fill="FFFFFF"/>
            <w:hideMark/>
          </w:tcPr>
          <w:p w:rsidR="007C133F" w:rsidRPr="006B4C34" w:rsidRDefault="007C133F" w:rsidP="007C133F">
            <w:pPr>
              <w:jc w:val="right"/>
              <w:rPr>
                <w:rFonts w:ascii="Arial" w:hAnsi="Arial" w:cs="Arial"/>
                <w:color w:val="000000"/>
              </w:rPr>
            </w:pPr>
            <w:r w:rsidRPr="006B4C34">
              <w:rPr>
                <w:rFonts w:ascii="Arial" w:hAnsi="Arial" w:cs="Arial"/>
                <w:color w:val="000000"/>
              </w:rPr>
              <w:t>103.00</w:t>
            </w:r>
          </w:p>
        </w:tc>
        <w:tc>
          <w:tcPr>
            <w:tcW w:w="880" w:type="dxa"/>
            <w:tcBorders>
              <w:top w:val="nil"/>
              <w:left w:val="single" w:sz="4" w:space="0" w:color="979991"/>
              <w:bottom w:val="single" w:sz="4" w:space="0" w:color="979991"/>
              <w:right w:val="nil"/>
            </w:tcBorders>
            <w:shd w:val="clear" w:color="000000" w:fill="FFFFFF"/>
            <w:hideMark/>
          </w:tcPr>
          <w:p w:rsidR="007C133F" w:rsidRPr="006B4C34" w:rsidRDefault="007C133F" w:rsidP="007C133F">
            <w:pPr>
              <w:jc w:val="right"/>
              <w:rPr>
                <w:rFonts w:ascii="Arial" w:hAnsi="Arial" w:cs="Arial"/>
                <w:color w:val="000000"/>
              </w:rPr>
            </w:pPr>
            <w:r w:rsidRPr="006B4C34">
              <w:rPr>
                <w:rFonts w:ascii="Arial" w:hAnsi="Arial" w:cs="Arial"/>
                <w:color w:val="000000"/>
              </w:rPr>
              <w:t>91.46</w:t>
            </w:r>
          </w:p>
        </w:tc>
        <w:tc>
          <w:tcPr>
            <w:tcW w:w="680" w:type="dxa"/>
            <w:tcBorders>
              <w:top w:val="nil"/>
              <w:left w:val="single" w:sz="4" w:space="0" w:color="979991"/>
              <w:bottom w:val="single" w:sz="4" w:space="0" w:color="979991"/>
              <w:right w:val="single" w:sz="4" w:space="0" w:color="979991"/>
            </w:tcBorders>
            <w:shd w:val="clear" w:color="000000" w:fill="FFFFFF"/>
            <w:hideMark/>
          </w:tcPr>
          <w:p w:rsidR="007C133F" w:rsidRPr="006B4C34" w:rsidRDefault="007C133F" w:rsidP="007C133F">
            <w:pPr>
              <w:jc w:val="right"/>
              <w:rPr>
                <w:rFonts w:ascii="Arial" w:hAnsi="Arial" w:cs="Arial"/>
                <w:color w:val="000000"/>
              </w:rPr>
            </w:pPr>
            <w:r w:rsidRPr="006B4C34">
              <w:rPr>
                <w:rFonts w:ascii="Arial" w:hAnsi="Arial" w:cs="Arial"/>
                <w:color w:val="000000"/>
              </w:rPr>
              <w:t>8.54</w:t>
            </w:r>
          </w:p>
        </w:tc>
      </w:tr>
      <w:tr w:rsidR="007C133F" w:rsidRPr="006B4C34" w:rsidTr="007C133F">
        <w:trPr>
          <w:trHeight w:val="300"/>
        </w:trPr>
        <w:tc>
          <w:tcPr>
            <w:tcW w:w="3600" w:type="dxa"/>
            <w:tcBorders>
              <w:top w:val="nil"/>
              <w:left w:val="single" w:sz="4" w:space="0" w:color="979991"/>
              <w:bottom w:val="single" w:sz="4" w:space="0" w:color="979991"/>
              <w:right w:val="nil"/>
            </w:tcBorders>
            <w:shd w:val="clear" w:color="000000" w:fill="0066CC"/>
            <w:hideMark/>
          </w:tcPr>
          <w:p w:rsidR="007C133F" w:rsidRPr="006B4C34" w:rsidRDefault="007C133F" w:rsidP="007C133F">
            <w:pPr>
              <w:jc w:val="right"/>
              <w:rPr>
                <w:rFonts w:ascii="Arial" w:hAnsi="Arial" w:cs="Arial"/>
                <w:b/>
                <w:bCs/>
                <w:color w:val="FFFFFF"/>
              </w:rPr>
            </w:pPr>
            <w:r w:rsidRPr="006B4C34">
              <w:rPr>
                <w:rFonts w:ascii="Arial" w:hAnsi="Arial" w:cs="Arial"/>
                <w:b/>
                <w:bCs/>
                <w:color w:val="FFFFFF"/>
              </w:rPr>
              <w:t>3</w:t>
            </w:r>
          </w:p>
        </w:tc>
        <w:tc>
          <w:tcPr>
            <w:tcW w:w="1040" w:type="dxa"/>
            <w:tcBorders>
              <w:top w:val="nil"/>
              <w:left w:val="single" w:sz="4" w:space="0" w:color="979991"/>
              <w:bottom w:val="single" w:sz="4" w:space="0" w:color="979991"/>
              <w:right w:val="nil"/>
            </w:tcBorders>
            <w:shd w:val="clear" w:color="000000" w:fill="FFFFFF"/>
            <w:hideMark/>
          </w:tcPr>
          <w:p w:rsidR="007C133F" w:rsidRPr="006B4C34" w:rsidRDefault="007C133F" w:rsidP="007C133F">
            <w:pPr>
              <w:jc w:val="right"/>
              <w:rPr>
                <w:rFonts w:ascii="Arial" w:hAnsi="Arial" w:cs="Arial"/>
                <w:color w:val="000000"/>
              </w:rPr>
            </w:pPr>
            <w:r w:rsidRPr="006B4C34">
              <w:rPr>
                <w:rFonts w:ascii="Arial" w:hAnsi="Arial" w:cs="Arial"/>
                <w:color w:val="000000"/>
              </w:rPr>
              <w:t>1063.00</w:t>
            </w:r>
          </w:p>
        </w:tc>
        <w:tc>
          <w:tcPr>
            <w:tcW w:w="760" w:type="dxa"/>
            <w:tcBorders>
              <w:top w:val="nil"/>
              <w:left w:val="single" w:sz="4" w:space="0" w:color="979991"/>
              <w:bottom w:val="single" w:sz="4" w:space="0" w:color="979991"/>
              <w:right w:val="nil"/>
            </w:tcBorders>
            <w:shd w:val="clear" w:color="000000" w:fill="FFFFFF"/>
            <w:hideMark/>
          </w:tcPr>
          <w:p w:rsidR="007C133F" w:rsidRPr="006B4C34" w:rsidRDefault="007C133F" w:rsidP="007C133F">
            <w:pPr>
              <w:jc w:val="right"/>
              <w:rPr>
                <w:rFonts w:ascii="Arial" w:hAnsi="Arial" w:cs="Arial"/>
                <w:color w:val="000000"/>
              </w:rPr>
            </w:pPr>
            <w:r w:rsidRPr="006B4C34">
              <w:rPr>
                <w:rFonts w:ascii="Arial" w:hAnsi="Arial" w:cs="Arial"/>
                <w:color w:val="000000"/>
              </w:rPr>
              <w:t>114.00</w:t>
            </w:r>
          </w:p>
        </w:tc>
        <w:tc>
          <w:tcPr>
            <w:tcW w:w="880" w:type="dxa"/>
            <w:tcBorders>
              <w:top w:val="nil"/>
              <w:left w:val="single" w:sz="4" w:space="0" w:color="979991"/>
              <w:bottom w:val="single" w:sz="4" w:space="0" w:color="979991"/>
              <w:right w:val="nil"/>
            </w:tcBorders>
            <w:shd w:val="clear" w:color="000000" w:fill="FFFFFF"/>
            <w:hideMark/>
          </w:tcPr>
          <w:p w:rsidR="007C133F" w:rsidRPr="006B4C34" w:rsidRDefault="007C133F" w:rsidP="007C133F">
            <w:pPr>
              <w:jc w:val="right"/>
              <w:rPr>
                <w:rFonts w:ascii="Arial" w:hAnsi="Arial" w:cs="Arial"/>
                <w:color w:val="000000"/>
              </w:rPr>
            </w:pPr>
            <w:r w:rsidRPr="006B4C34">
              <w:rPr>
                <w:rFonts w:ascii="Arial" w:hAnsi="Arial" w:cs="Arial"/>
                <w:color w:val="000000"/>
              </w:rPr>
              <w:t>90.31</w:t>
            </w:r>
          </w:p>
        </w:tc>
        <w:tc>
          <w:tcPr>
            <w:tcW w:w="680" w:type="dxa"/>
            <w:tcBorders>
              <w:top w:val="nil"/>
              <w:left w:val="single" w:sz="4" w:space="0" w:color="979991"/>
              <w:bottom w:val="single" w:sz="4" w:space="0" w:color="979991"/>
              <w:right w:val="single" w:sz="4" w:space="0" w:color="979991"/>
            </w:tcBorders>
            <w:shd w:val="clear" w:color="000000" w:fill="FFFFFF"/>
            <w:hideMark/>
          </w:tcPr>
          <w:p w:rsidR="007C133F" w:rsidRPr="006B4C34" w:rsidRDefault="007C133F" w:rsidP="007C133F">
            <w:pPr>
              <w:jc w:val="right"/>
              <w:rPr>
                <w:rFonts w:ascii="Arial" w:hAnsi="Arial" w:cs="Arial"/>
                <w:color w:val="000000"/>
              </w:rPr>
            </w:pPr>
            <w:r w:rsidRPr="006B4C34">
              <w:rPr>
                <w:rFonts w:ascii="Arial" w:hAnsi="Arial" w:cs="Arial"/>
                <w:color w:val="000000"/>
              </w:rPr>
              <w:t>9.69</w:t>
            </w:r>
          </w:p>
        </w:tc>
      </w:tr>
      <w:tr w:rsidR="007C133F" w:rsidRPr="006B4C34" w:rsidTr="007C133F">
        <w:trPr>
          <w:trHeight w:val="300"/>
        </w:trPr>
        <w:tc>
          <w:tcPr>
            <w:tcW w:w="3600" w:type="dxa"/>
            <w:tcBorders>
              <w:top w:val="nil"/>
              <w:left w:val="single" w:sz="4" w:space="0" w:color="979991"/>
              <w:bottom w:val="single" w:sz="4" w:space="0" w:color="979991"/>
              <w:right w:val="nil"/>
            </w:tcBorders>
            <w:shd w:val="clear" w:color="000000" w:fill="0066CC"/>
            <w:hideMark/>
          </w:tcPr>
          <w:p w:rsidR="007C133F" w:rsidRPr="006B4C34" w:rsidRDefault="007C133F" w:rsidP="007C133F">
            <w:pPr>
              <w:jc w:val="right"/>
              <w:rPr>
                <w:rFonts w:ascii="Arial" w:hAnsi="Arial" w:cs="Arial"/>
                <w:b/>
                <w:bCs/>
                <w:color w:val="FFFFFF"/>
              </w:rPr>
            </w:pPr>
            <w:r w:rsidRPr="006B4C34">
              <w:rPr>
                <w:rFonts w:ascii="Arial" w:hAnsi="Arial" w:cs="Arial"/>
                <w:b/>
                <w:bCs/>
                <w:color w:val="FFFFFF"/>
              </w:rPr>
              <w:t>4</w:t>
            </w:r>
          </w:p>
        </w:tc>
        <w:tc>
          <w:tcPr>
            <w:tcW w:w="1040" w:type="dxa"/>
            <w:tcBorders>
              <w:top w:val="nil"/>
              <w:left w:val="single" w:sz="4" w:space="0" w:color="979991"/>
              <w:bottom w:val="single" w:sz="4" w:space="0" w:color="979991"/>
              <w:right w:val="nil"/>
            </w:tcBorders>
            <w:shd w:val="clear" w:color="000000" w:fill="FFFFFF"/>
            <w:hideMark/>
          </w:tcPr>
          <w:p w:rsidR="007C133F" w:rsidRPr="006B4C34" w:rsidRDefault="007C133F" w:rsidP="007C133F">
            <w:pPr>
              <w:jc w:val="right"/>
              <w:rPr>
                <w:rFonts w:ascii="Arial" w:hAnsi="Arial" w:cs="Arial"/>
                <w:color w:val="000000"/>
              </w:rPr>
            </w:pPr>
            <w:r w:rsidRPr="006B4C34">
              <w:rPr>
                <w:rFonts w:ascii="Arial" w:hAnsi="Arial" w:cs="Arial"/>
                <w:color w:val="000000"/>
              </w:rPr>
              <w:t>1032.00</w:t>
            </w:r>
          </w:p>
        </w:tc>
        <w:tc>
          <w:tcPr>
            <w:tcW w:w="760" w:type="dxa"/>
            <w:tcBorders>
              <w:top w:val="nil"/>
              <w:left w:val="single" w:sz="4" w:space="0" w:color="979991"/>
              <w:bottom w:val="single" w:sz="4" w:space="0" w:color="979991"/>
              <w:right w:val="nil"/>
            </w:tcBorders>
            <w:shd w:val="clear" w:color="000000" w:fill="FFFFFF"/>
            <w:hideMark/>
          </w:tcPr>
          <w:p w:rsidR="007C133F" w:rsidRPr="006B4C34" w:rsidRDefault="007C133F" w:rsidP="007C133F">
            <w:pPr>
              <w:jc w:val="right"/>
              <w:rPr>
                <w:rFonts w:ascii="Arial" w:hAnsi="Arial" w:cs="Arial"/>
                <w:color w:val="000000"/>
              </w:rPr>
            </w:pPr>
            <w:r w:rsidRPr="006B4C34">
              <w:rPr>
                <w:rFonts w:ascii="Arial" w:hAnsi="Arial" w:cs="Arial"/>
                <w:color w:val="000000"/>
              </w:rPr>
              <w:t>151.00</w:t>
            </w:r>
          </w:p>
        </w:tc>
        <w:tc>
          <w:tcPr>
            <w:tcW w:w="880" w:type="dxa"/>
            <w:tcBorders>
              <w:top w:val="nil"/>
              <w:left w:val="single" w:sz="4" w:space="0" w:color="979991"/>
              <w:bottom w:val="single" w:sz="4" w:space="0" w:color="979991"/>
              <w:right w:val="nil"/>
            </w:tcBorders>
            <w:shd w:val="clear" w:color="000000" w:fill="FFFFFF"/>
            <w:hideMark/>
          </w:tcPr>
          <w:p w:rsidR="007C133F" w:rsidRPr="006B4C34" w:rsidRDefault="007C133F" w:rsidP="007C133F">
            <w:pPr>
              <w:jc w:val="right"/>
              <w:rPr>
                <w:rFonts w:ascii="Arial" w:hAnsi="Arial" w:cs="Arial"/>
                <w:color w:val="000000"/>
              </w:rPr>
            </w:pPr>
            <w:r w:rsidRPr="006B4C34">
              <w:rPr>
                <w:rFonts w:ascii="Arial" w:hAnsi="Arial" w:cs="Arial"/>
                <w:color w:val="000000"/>
              </w:rPr>
              <w:t>87.24</w:t>
            </w:r>
          </w:p>
        </w:tc>
        <w:tc>
          <w:tcPr>
            <w:tcW w:w="680" w:type="dxa"/>
            <w:tcBorders>
              <w:top w:val="nil"/>
              <w:left w:val="single" w:sz="4" w:space="0" w:color="979991"/>
              <w:bottom w:val="single" w:sz="4" w:space="0" w:color="979991"/>
              <w:right w:val="single" w:sz="4" w:space="0" w:color="979991"/>
            </w:tcBorders>
            <w:shd w:val="clear" w:color="000000" w:fill="FFFFFF"/>
            <w:hideMark/>
          </w:tcPr>
          <w:p w:rsidR="007C133F" w:rsidRPr="006B4C34" w:rsidRDefault="007C133F" w:rsidP="007C133F">
            <w:pPr>
              <w:jc w:val="right"/>
              <w:rPr>
                <w:rFonts w:ascii="Arial" w:hAnsi="Arial" w:cs="Arial"/>
                <w:color w:val="000000"/>
              </w:rPr>
            </w:pPr>
            <w:r w:rsidRPr="006B4C34">
              <w:rPr>
                <w:rFonts w:ascii="Arial" w:hAnsi="Arial" w:cs="Arial"/>
                <w:color w:val="000000"/>
              </w:rPr>
              <w:t>12.76</w:t>
            </w:r>
          </w:p>
        </w:tc>
      </w:tr>
    </w:tbl>
    <w:p w:rsidR="007C133F" w:rsidRPr="006B4C34" w:rsidRDefault="007C133F" w:rsidP="007C133F">
      <w:pPr>
        <w:spacing w:after="200" w:line="276" w:lineRule="auto"/>
        <w:rPr>
          <w:rFonts w:ascii="Arial" w:eastAsia="Calibri" w:hAnsi="Arial" w:cs="Arial"/>
          <w:lang w:eastAsia="en-US"/>
        </w:rPr>
      </w:pPr>
    </w:p>
    <w:p w:rsidR="007C133F" w:rsidRPr="006B4C34" w:rsidRDefault="007C133F" w:rsidP="007C133F">
      <w:pPr>
        <w:spacing w:after="200" w:line="276" w:lineRule="auto"/>
        <w:rPr>
          <w:rFonts w:ascii="Arial" w:eastAsia="Calibri" w:hAnsi="Arial" w:cs="Arial"/>
          <w:lang w:eastAsia="en-US"/>
        </w:rPr>
      </w:pPr>
      <w:r w:rsidRPr="006B4C34">
        <w:rPr>
          <w:rFonts w:ascii="Arial" w:eastAsia="Calibri" w:hAnsi="Arial" w:cs="Arial"/>
          <w:lang w:eastAsia="en-US"/>
        </w:rPr>
        <w:t>The overall average for the trust is 90% female 10% male. Quartile 4 relates to the highest paid. The quartiles are based on the four bands of earning in KCHFT:</w:t>
      </w:r>
    </w:p>
    <w:p w:rsidR="007C133F" w:rsidRPr="006B4C34" w:rsidRDefault="007C133F" w:rsidP="007C133F">
      <w:pPr>
        <w:numPr>
          <w:ilvl w:val="0"/>
          <w:numId w:val="6"/>
        </w:numPr>
        <w:spacing w:after="200" w:line="276" w:lineRule="auto"/>
        <w:contextualSpacing/>
        <w:rPr>
          <w:rFonts w:ascii="Arial" w:eastAsia="Calibri" w:hAnsi="Arial" w:cs="Arial"/>
          <w:lang w:eastAsia="en-US"/>
        </w:rPr>
      </w:pPr>
      <w:r w:rsidRPr="006B4C34">
        <w:rPr>
          <w:rFonts w:ascii="Arial" w:eastAsia="Calibri" w:hAnsi="Arial" w:cs="Arial"/>
          <w:lang w:eastAsia="en-US"/>
        </w:rPr>
        <w:t>Quartile 1 Up to approximately £10.05 per hour</w:t>
      </w:r>
    </w:p>
    <w:p w:rsidR="007C133F" w:rsidRPr="006B4C34" w:rsidRDefault="007C133F" w:rsidP="007C133F">
      <w:pPr>
        <w:numPr>
          <w:ilvl w:val="0"/>
          <w:numId w:val="6"/>
        </w:numPr>
        <w:spacing w:after="200" w:line="276" w:lineRule="auto"/>
        <w:contextualSpacing/>
        <w:rPr>
          <w:rFonts w:ascii="Arial" w:eastAsia="Calibri" w:hAnsi="Arial" w:cs="Arial"/>
          <w:lang w:eastAsia="en-US"/>
        </w:rPr>
      </w:pPr>
      <w:r w:rsidRPr="006B4C34">
        <w:rPr>
          <w:rFonts w:ascii="Arial" w:eastAsia="Calibri" w:hAnsi="Arial" w:cs="Arial"/>
          <w:lang w:eastAsia="en-US"/>
        </w:rPr>
        <w:t>Quartile 2 Up to approximately £12.59 per hour</w:t>
      </w:r>
    </w:p>
    <w:p w:rsidR="007C133F" w:rsidRPr="006B4C34" w:rsidRDefault="007C133F" w:rsidP="007C133F">
      <w:pPr>
        <w:numPr>
          <w:ilvl w:val="0"/>
          <w:numId w:val="6"/>
        </w:numPr>
        <w:spacing w:after="200" w:line="276" w:lineRule="auto"/>
        <w:contextualSpacing/>
        <w:rPr>
          <w:rFonts w:ascii="Arial" w:eastAsia="Calibri" w:hAnsi="Arial" w:cs="Arial"/>
          <w:lang w:eastAsia="en-US"/>
        </w:rPr>
      </w:pPr>
      <w:r w:rsidRPr="006B4C34">
        <w:rPr>
          <w:rFonts w:ascii="Arial" w:eastAsia="Calibri" w:hAnsi="Arial" w:cs="Arial"/>
          <w:lang w:eastAsia="en-US"/>
        </w:rPr>
        <w:t>Quartile 3 Up to approximately £18.01 per hour</w:t>
      </w:r>
    </w:p>
    <w:p w:rsidR="007C133F" w:rsidRPr="006B4C34" w:rsidRDefault="007C133F" w:rsidP="007C133F">
      <w:pPr>
        <w:numPr>
          <w:ilvl w:val="0"/>
          <w:numId w:val="6"/>
        </w:numPr>
        <w:spacing w:after="200" w:line="276" w:lineRule="auto"/>
        <w:contextualSpacing/>
        <w:rPr>
          <w:rFonts w:ascii="Arial" w:eastAsia="Calibri" w:hAnsi="Arial" w:cs="Arial"/>
          <w:lang w:eastAsia="en-US"/>
        </w:rPr>
      </w:pPr>
      <w:r w:rsidRPr="006B4C34">
        <w:rPr>
          <w:rFonts w:ascii="Arial" w:eastAsia="Calibri" w:hAnsi="Arial" w:cs="Arial"/>
          <w:lang w:eastAsia="en-US"/>
        </w:rPr>
        <w:t>Quartile 4 Up to approximately £77.48 per hour</w:t>
      </w:r>
    </w:p>
    <w:p w:rsidR="007C133F" w:rsidRPr="006B4C34" w:rsidRDefault="007C133F" w:rsidP="007C133F">
      <w:pPr>
        <w:spacing w:after="200" w:line="276" w:lineRule="auto"/>
        <w:rPr>
          <w:rFonts w:ascii="Arial" w:eastAsia="Calibri" w:hAnsi="Arial" w:cs="Arial"/>
          <w:b/>
          <w:lang w:eastAsia="en-US"/>
        </w:rPr>
      </w:pPr>
    </w:p>
    <w:p w:rsidR="007C133F" w:rsidRPr="006B4C34" w:rsidRDefault="007C133F" w:rsidP="00526FEF">
      <w:pPr>
        <w:numPr>
          <w:ilvl w:val="0"/>
          <w:numId w:val="1"/>
        </w:numPr>
        <w:tabs>
          <w:tab w:val="clear" w:pos="900"/>
          <w:tab w:val="num" w:pos="0"/>
        </w:tabs>
        <w:spacing w:after="200" w:line="276" w:lineRule="auto"/>
        <w:ind w:hanging="900"/>
        <w:rPr>
          <w:rFonts w:ascii="Arial" w:eastAsia="Calibri" w:hAnsi="Arial" w:cs="Arial"/>
          <w:b/>
          <w:lang w:eastAsia="en-US"/>
        </w:rPr>
      </w:pPr>
      <w:r w:rsidRPr="006B4C34">
        <w:rPr>
          <w:rFonts w:ascii="Arial" w:eastAsia="Calibri" w:hAnsi="Arial" w:cs="Arial"/>
          <w:b/>
          <w:lang w:eastAsia="en-US"/>
        </w:rPr>
        <w:lastRenderedPageBreak/>
        <w:t>Bench Marking</w:t>
      </w:r>
    </w:p>
    <w:tbl>
      <w:tblPr>
        <w:tblW w:w="8000" w:type="dxa"/>
        <w:tblInd w:w="93" w:type="dxa"/>
        <w:tblLook w:val="04A0" w:firstRow="1" w:lastRow="0" w:firstColumn="1" w:lastColumn="0" w:noHBand="0" w:noVBand="1"/>
      </w:tblPr>
      <w:tblGrid>
        <w:gridCol w:w="4620"/>
        <w:gridCol w:w="1030"/>
        <w:gridCol w:w="1043"/>
        <w:gridCol w:w="1460"/>
      </w:tblGrid>
      <w:tr w:rsidR="007C133F" w:rsidRPr="006B4C34" w:rsidTr="007C133F">
        <w:trPr>
          <w:trHeight w:val="300"/>
        </w:trPr>
        <w:tc>
          <w:tcPr>
            <w:tcW w:w="4620" w:type="dxa"/>
            <w:tcBorders>
              <w:top w:val="single" w:sz="4" w:space="0" w:color="979991"/>
              <w:left w:val="single" w:sz="4" w:space="0" w:color="979991"/>
              <w:bottom w:val="nil"/>
              <w:right w:val="nil"/>
            </w:tcBorders>
            <w:shd w:val="clear" w:color="000000" w:fill="0066CC"/>
            <w:hideMark/>
          </w:tcPr>
          <w:p w:rsidR="007C133F" w:rsidRPr="006B4C34" w:rsidRDefault="007C133F" w:rsidP="007C133F">
            <w:pPr>
              <w:rPr>
                <w:rFonts w:ascii="Arial" w:hAnsi="Arial" w:cs="Arial"/>
                <w:b/>
                <w:bCs/>
                <w:color w:val="FFFFFF"/>
              </w:rPr>
            </w:pPr>
            <w:r w:rsidRPr="006B4C34">
              <w:rPr>
                <w:rFonts w:ascii="Arial" w:hAnsi="Arial" w:cs="Arial"/>
                <w:b/>
                <w:bCs/>
                <w:color w:val="FFFFFF"/>
              </w:rPr>
              <w:t>Trust</w:t>
            </w:r>
          </w:p>
        </w:tc>
        <w:tc>
          <w:tcPr>
            <w:tcW w:w="960" w:type="dxa"/>
            <w:tcBorders>
              <w:top w:val="single" w:sz="4" w:space="0" w:color="979991"/>
              <w:left w:val="single" w:sz="4" w:space="0" w:color="979991"/>
              <w:bottom w:val="nil"/>
              <w:right w:val="nil"/>
            </w:tcBorders>
            <w:shd w:val="clear" w:color="000000" w:fill="0066CC"/>
            <w:hideMark/>
          </w:tcPr>
          <w:p w:rsidR="007C133F" w:rsidRPr="006B4C34" w:rsidRDefault="007C133F" w:rsidP="007C133F">
            <w:pPr>
              <w:rPr>
                <w:rFonts w:ascii="Arial" w:hAnsi="Arial" w:cs="Arial"/>
                <w:b/>
                <w:bCs/>
                <w:color w:val="FFFFFF"/>
              </w:rPr>
            </w:pPr>
            <w:r w:rsidRPr="006B4C34">
              <w:rPr>
                <w:rFonts w:ascii="Arial" w:hAnsi="Arial" w:cs="Arial"/>
                <w:b/>
                <w:bCs/>
                <w:color w:val="FFFFFF"/>
              </w:rPr>
              <w:t>Mean</w:t>
            </w:r>
          </w:p>
        </w:tc>
        <w:tc>
          <w:tcPr>
            <w:tcW w:w="960" w:type="dxa"/>
            <w:tcBorders>
              <w:top w:val="single" w:sz="4" w:space="0" w:color="979991"/>
              <w:left w:val="single" w:sz="4" w:space="0" w:color="979991"/>
              <w:bottom w:val="nil"/>
              <w:right w:val="nil"/>
            </w:tcBorders>
            <w:shd w:val="clear" w:color="000000" w:fill="0066CC"/>
            <w:hideMark/>
          </w:tcPr>
          <w:p w:rsidR="007C133F" w:rsidRPr="006B4C34" w:rsidRDefault="007C133F" w:rsidP="007C133F">
            <w:pPr>
              <w:rPr>
                <w:rFonts w:ascii="Arial" w:hAnsi="Arial" w:cs="Arial"/>
                <w:b/>
                <w:bCs/>
                <w:color w:val="FFFFFF"/>
              </w:rPr>
            </w:pPr>
            <w:r w:rsidRPr="006B4C34">
              <w:rPr>
                <w:rFonts w:ascii="Arial" w:hAnsi="Arial" w:cs="Arial"/>
                <w:b/>
                <w:bCs/>
                <w:color w:val="FFFFFF"/>
              </w:rPr>
              <w:t>Median</w:t>
            </w:r>
          </w:p>
        </w:tc>
        <w:tc>
          <w:tcPr>
            <w:tcW w:w="1460" w:type="dxa"/>
            <w:tcBorders>
              <w:top w:val="single" w:sz="4" w:space="0" w:color="979991"/>
              <w:left w:val="single" w:sz="4" w:space="0" w:color="979991"/>
              <w:bottom w:val="nil"/>
              <w:right w:val="nil"/>
            </w:tcBorders>
            <w:shd w:val="clear" w:color="000000" w:fill="0066CC"/>
            <w:hideMark/>
          </w:tcPr>
          <w:p w:rsidR="007C133F" w:rsidRPr="006B4C34" w:rsidRDefault="007C133F" w:rsidP="007C133F">
            <w:pPr>
              <w:rPr>
                <w:rFonts w:ascii="Arial" w:hAnsi="Arial" w:cs="Arial"/>
                <w:b/>
                <w:bCs/>
                <w:color w:val="FFFFFF"/>
              </w:rPr>
            </w:pPr>
            <w:r w:rsidRPr="006B4C34">
              <w:rPr>
                <w:rFonts w:ascii="Arial" w:hAnsi="Arial" w:cs="Arial"/>
                <w:b/>
                <w:bCs/>
                <w:color w:val="FFFFFF"/>
              </w:rPr>
              <w:t>Pay Gap (H / L)</w:t>
            </w:r>
          </w:p>
        </w:tc>
      </w:tr>
      <w:tr w:rsidR="007C133F" w:rsidRPr="006B4C34" w:rsidTr="007C133F">
        <w:trPr>
          <w:trHeight w:val="300"/>
        </w:trPr>
        <w:tc>
          <w:tcPr>
            <w:tcW w:w="4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133F" w:rsidRPr="006B4C34" w:rsidRDefault="007C133F" w:rsidP="007C133F">
            <w:pPr>
              <w:rPr>
                <w:rFonts w:ascii="Arial" w:hAnsi="Arial" w:cs="Arial"/>
                <w:color w:val="000000"/>
              </w:rPr>
            </w:pPr>
            <w:r w:rsidRPr="006B4C34">
              <w:rPr>
                <w:rFonts w:ascii="Arial" w:hAnsi="Arial" w:cs="Arial"/>
                <w:color w:val="000000"/>
              </w:rPr>
              <w:t>East Cheshire NHS Trust</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7C133F" w:rsidRPr="006B4C34" w:rsidRDefault="007C133F" w:rsidP="007C133F">
            <w:pPr>
              <w:jc w:val="right"/>
              <w:rPr>
                <w:rFonts w:ascii="Arial" w:hAnsi="Arial" w:cs="Arial"/>
                <w:color w:val="000000"/>
              </w:rPr>
            </w:pPr>
            <w:r w:rsidRPr="006B4C34">
              <w:rPr>
                <w:rFonts w:ascii="Arial" w:hAnsi="Arial" w:cs="Arial"/>
                <w:color w:val="000000"/>
              </w:rPr>
              <w:t>34.50%</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7C133F" w:rsidRPr="006B4C34" w:rsidRDefault="007C133F" w:rsidP="007C133F">
            <w:pPr>
              <w:jc w:val="right"/>
              <w:rPr>
                <w:rFonts w:ascii="Arial" w:hAnsi="Arial" w:cs="Arial"/>
                <w:color w:val="000000"/>
              </w:rPr>
            </w:pPr>
            <w:r w:rsidRPr="006B4C34">
              <w:rPr>
                <w:rFonts w:ascii="Arial" w:hAnsi="Arial" w:cs="Arial"/>
                <w:color w:val="000000"/>
              </w:rPr>
              <w:t>15.70%</w:t>
            </w:r>
          </w:p>
        </w:tc>
        <w:tc>
          <w:tcPr>
            <w:tcW w:w="1460" w:type="dxa"/>
            <w:tcBorders>
              <w:top w:val="single" w:sz="4" w:space="0" w:color="auto"/>
              <w:left w:val="nil"/>
              <w:bottom w:val="single" w:sz="4" w:space="0" w:color="auto"/>
              <w:right w:val="single" w:sz="4" w:space="0" w:color="auto"/>
            </w:tcBorders>
            <w:shd w:val="clear" w:color="auto" w:fill="auto"/>
            <w:noWrap/>
            <w:vAlign w:val="bottom"/>
            <w:hideMark/>
          </w:tcPr>
          <w:p w:rsidR="007C133F" w:rsidRPr="006B4C34" w:rsidRDefault="007C133F" w:rsidP="007C133F">
            <w:pPr>
              <w:rPr>
                <w:rFonts w:ascii="Arial" w:hAnsi="Arial" w:cs="Arial"/>
                <w:color w:val="000000"/>
              </w:rPr>
            </w:pPr>
            <w:r w:rsidRPr="006B4C34">
              <w:rPr>
                <w:rFonts w:ascii="Arial" w:hAnsi="Arial" w:cs="Arial"/>
                <w:color w:val="000000"/>
              </w:rPr>
              <w:t>L</w:t>
            </w:r>
          </w:p>
        </w:tc>
      </w:tr>
      <w:tr w:rsidR="007C133F" w:rsidRPr="006B4C34" w:rsidTr="007C133F">
        <w:trPr>
          <w:trHeight w:val="300"/>
        </w:trPr>
        <w:tc>
          <w:tcPr>
            <w:tcW w:w="4620" w:type="dxa"/>
            <w:tcBorders>
              <w:top w:val="nil"/>
              <w:left w:val="single" w:sz="4" w:space="0" w:color="auto"/>
              <w:bottom w:val="single" w:sz="4" w:space="0" w:color="auto"/>
              <w:right w:val="single" w:sz="4" w:space="0" w:color="auto"/>
            </w:tcBorders>
            <w:shd w:val="clear" w:color="auto" w:fill="auto"/>
            <w:noWrap/>
            <w:vAlign w:val="bottom"/>
            <w:hideMark/>
          </w:tcPr>
          <w:p w:rsidR="007C133F" w:rsidRPr="006B4C34" w:rsidRDefault="007C133F" w:rsidP="007C133F">
            <w:pPr>
              <w:rPr>
                <w:rFonts w:ascii="Arial" w:hAnsi="Arial" w:cs="Arial"/>
                <w:color w:val="000000"/>
              </w:rPr>
            </w:pPr>
            <w:r w:rsidRPr="006B4C34">
              <w:rPr>
                <w:rFonts w:ascii="Arial" w:hAnsi="Arial" w:cs="Arial"/>
                <w:color w:val="000000"/>
              </w:rPr>
              <w:t>Gloucestershire Hospitals Nhs Foundation Trust</w:t>
            </w:r>
          </w:p>
        </w:tc>
        <w:tc>
          <w:tcPr>
            <w:tcW w:w="960" w:type="dxa"/>
            <w:tcBorders>
              <w:top w:val="nil"/>
              <w:left w:val="nil"/>
              <w:bottom w:val="single" w:sz="4" w:space="0" w:color="auto"/>
              <w:right w:val="single" w:sz="4" w:space="0" w:color="auto"/>
            </w:tcBorders>
            <w:shd w:val="clear" w:color="auto" w:fill="auto"/>
            <w:noWrap/>
            <w:vAlign w:val="bottom"/>
            <w:hideMark/>
          </w:tcPr>
          <w:p w:rsidR="007C133F" w:rsidRPr="006B4C34" w:rsidRDefault="007C133F" w:rsidP="007C133F">
            <w:pPr>
              <w:jc w:val="right"/>
              <w:rPr>
                <w:rFonts w:ascii="Arial" w:hAnsi="Arial" w:cs="Arial"/>
                <w:color w:val="000000"/>
              </w:rPr>
            </w:pPr>
            <w:r w:rsidRPr="006B4C34">
              <w:rPr>
                <w:rFonts w:ascii="Arial" w:hAnsi="Arial" w:cs="Arial"/>
                <w:color w:val="000000"/>
              </w:rPr>
              <w:t>28.20%</w:t>
            </w:r>
          </w:p>
        </w:tc>
        <w:tc>
          <w:tcPr>
            <w:tcW w:w="960" w:type="dxa"/>
            <w:tcBorders>
              <w:top w:val="nil"/>
              <w:left w:val="nil"/>
              <w:bottom w:val="single" w:sz="4" w:space="0" w:color="auto"/>
              <w:right w:val="single" w:sz="4" w:space="0" w:color="auto"/>
            </w:tcBorders>
            <w:shd w:val="clear" w:color="auto" w:fill="auto"/>
            <w:noWrap/>
            <w:vAlign w:val="bottom"/>
            <w:hideMark/>
          </w:tcPr>
          <w:p w:rsidR="007C133F" w:rsidRPr="006B4C34" w:rsidRDefault="007C133F" w:rsidP="007C133F">
            <w:pPr>
              <w:jc w:val="right"/>
              <w:rPr>
                <w:rFonts w:ascii="Arial" w:hAnsi="Arial" w:cs="Arial"/>
                <w:color w:val="000000"/>
              </w:rPr>
            </w:pPr>
            <w:r w:rsidRPr="006B4C34">
              <w:rPr>
                <w:rFonts w:ascii="Arial" w:hAnsi="Arial" w:cs="Arial"/>
                <w:color w:val="000000"/>
              </w:rPr>
              <w:t>16.90%</w:t>
            </w:r>
          </w:p>
        </w:tc>
        <w:tc>
          <w:tcPr>
            <w:tcW w:w="1460" w:type="dxa"/>
            <w:tcBorders>
              <w:top w:val="nil"/>
              <w:left w:val="nil"/>
              <w:bottom w:val="single" w:sz="4" w:space="0" w:color="auto"/>
              <w:right w:val="single" w:sz="4" w:space="0" w:color="auto"/>
            </w:tcBorders>
            <w:shd w:val="clear" w:color="auto" w:fill="auto"/>
            <w:noWrap/>
            <w:vAlign w:val="bottom"/>
            <w:hideMark/>
          </w:tcPr>
          <w:p w:rsidR="007C133F" w:rsidRPr="006B4C34" w:rsidRDefault="007C133F" w:rsidP="007C133F">
            <w:pPr>
              <w:rPr>
                <w:rFonts w:ascii="Arial" w:hAnsi="Arial" w:cs="Arial"/>
                <w:color w:val="000000"/>
              </w:rPr>
            </w:pPr>
            <w:r w:rsidRPr="006B4C34">
              <w:rPr>
                <w:rFonts w:ascii="Arial" w:hAnsi="Arial" w:cs="Arial"/>
                <w:color w:val="000000"/>
              </w:rPr>
              <w:t>L</w:t>
            </w:r>
          </w:p>
        </w:tc>
      </w:tr>
      <w:tr w:rsidR="007C133F" w:rsidRPr="006B4C34" w:rsidTr="007C133F">
        <w:trPr>
          <w:trHeight w:val="300"/>
        </w:trPr>
        <w:tc>
          <w:tcPr>
            <w:tcW w:w="4620" w:type="dxa"/>
            <w:tcBorders>
              <w:top w:val="nil"/>
              <w:left w:val="single" w:sz="4" w:space="0" w:color="auto"/>
              <w:bottom w:val="single" w:sz="4" w:space="0" w:color="auto"/>
              <w:right w:val="single" w:sz="4" w:space="0" w:color="auto"/>
            </w:tcBorders>
            <w:shd w:val="clear" w:color="auto" w:fill="auto"/>
            <w:noWrap/>
            <w:vAlign w:val="bottom"/>
            <w:hideMark/>
          </w:tcPr>
          <w:p w:rsidR="007C133F" w:rsidRPr="006B4C34" w:rsidRDefault="007C133F" w:rsidP="007C133F">
            <w:pPr>
              <w:rPr>
                <w:rFonts w:ascii="Arial" w:hAnsi="Arial" w:cs="Arial"/>
                <w:color w:val="000000"/>
              </w:rPr>
            </w:pPr>
            <w:r w:rsidRPr="006B4C34">
              <w:rPr>
                <w:rFonts w:ascii="Arial" w:hAnsi="Arial" w:cs="Arial"/>
                <w:color w:val="000000"/>
              </w:rPr>
              <w:t>Lincolnshire Partnership NHS Foundation Trust</w:t>
            </w:r>
          </w:p>
        </w:tc>
        <w:tc>
          <w:tcPr>
            <w:tcW w:w="960" w:type="dxa"/>
            <w:tcBorders>
              <w:top w:val="nil"/>
              <w:left w:val="nil"/>
              <w:bottom w:val="single" w:sz="4" w:space="0" w:color="auto"/>
              <w:right w:val="single" w:sz="4" w:space="0" w:color="auto"/>
            </w:tcBorders>
            <w:shd w:val="clear" w:color="auto" w:fill="auto"/>
            <w:noWrap/>
            <w:vAlign w:val="bottom"/>
            <w:hideMark/>
          </w:tcPr>
          <w:p w:rsidR="007C133F" w:rsidRPr="006B4C34" w:rsidRDefault="007C133F" w:rsidP="007C133F">
            <w:pPr>
              <w:jc w:val="right"/>
              <w:rPr>
                <w:rFonts w:ascii="Arial" w:hAnsi="Arial" w:cs="Arial"/>
                <w:color w:val="000000"/>
              </w:rPr>
            </w:pPr>
            <w:r w:rsidRPr="006B4C34">
              <w:rPr>
                <w:rFonts w:ascii="Arial" w:hAnsi="Arial" w:cs="Arial"/>
                <w:color w:val="000000"/>
              </w:rPr>
              <w:t>19.00%</w:t>
            </w:r>
          </w:p>
        </w:tc>
        <w:tc>
          <w:tcPr>
            <w:tcW w:w="960" w:type="dxa"/>
            <w:tcBorders>
              <w:top w:val="nil"/>
              <w:left w:val="nil"/>
              <w:bottom w:val="single" w:sz="4" w:space="0" w:color="auto"/>
              <w:right w:val="single" w:sz="4" w:space="0" w:color="auto"/>
            </w:tcBorders>
            <w:shd w:val="clear" w:color="auto" w:fill="auto"/>
            <w:noWrap/>
            <w:vAlign w:val="bottom"/>
            <w:hideMark/>
          </w:tcPr>
          <w:p w:rsidR="007C133F" w:rsidRPr="006B4C34" w:rsidRDefault="007C133F" w:rsidP="007C133F">
            <w:pPr>
              <w:jc w:val="right"/>
              <w:rPr>
                <w:rFonts w:ascii="Arial" w:hAnsi="Arial" w:cs="Arial"/>
                <w:color w:val="000000"/>
              </w:rPr>
            </w:pPr>
            <w:r w:rsidRPr="006B4C34">
              <w:rPr>
                <w:rFonts w:ascii="Arial" w:hAnsi="Arial" w:cs="Arial"/>
                <w:color w:val="000000"/>
              </w:rPr>
              <w:t>15.00%</w:t>
            </w:r>
          </w:p>
        </w:tc>
        <w:tc>
          <w:tcPr>
            <w:tcW w:w="1460" w:type="dxa"/>
            <w:tcBorders>
              <w:top w:val="nil"/>
              <w:left w:val="nil"/>
              <w:bottom w:val="single" w:sz="4" w:space="0" w:color="auto"/>
              <w:right w:val="single" w:sz="4" w:space="0" w:color="auto"/>
            </w:tcBorders>
            <w:shd w:val="clear" w:color="auto" w:fill="auto"/>
            <w:noWrap/>
            <w:vAlign w:val="bottom"/>
            <w:hideMark/>
          </w:tcPr>
          <w:p w:rsidR="007C133F" w:rsidRPr="006B4C34" w:rsidRDefault="007C133F" w:rsidP="007C133F">
            <w:pPr>
              <w:rPr>
                <w:rFonts w:ascii="Arial" w:hAnsi="Arial" w:cs="Arial"/>
                <w:color w:val="000000"/>
              </w:rPr>
            </w:pPr>
            <w:r w:rsidRPr="006B4C34">
              <w:rPr>
                <w:rFonts w:ascii="Arial" w:hAnsi="Arial" w:cs="Arial"/>
                <w:color w:val="000000"/>
              </w:rPr>
              <w:t>L</w:t>
            </w:r>
          </w:p>
        </w:tc>
      </w:tr>
      <w:tr w:rsidR="007C133F" w:rsidRPr="006B4C34" w:rsidTr="007C133F">
        <w:trPr>
          <w:trHeight w:val="300"/>
        </w:trPr>
        <w:tc>
          <w:tcPr>
            <w:tcW w:w="4620" w:type="dxa"/>
            <w:tcBorders>
              <w:top w:val="nil"/>
              <w:left w:val="single" w:sz="4" w:space="0" w:color="auto"/>
              <w:bottom w:val="single" w:sz="4" w:space="0" w:color="auto"/>
              <w:right w:val="single" w:sz="4" w:space="0" w:color="auto"/>
            </w:tcBorders>
            <w:shd w:val="clear" w:color="auto" w:fill="auto"/>
            <w:noWrap/>
            <w:vAlign w:val="bottom"/>
            <w:hideMark/>
          </w:tcPr>
          <w:p w:rsidR="007C133F" w:rsidRPr="006B4C34" w:rsidRDefault="007C133F" w:rsidP="007C133F">
            <w:pPr>
              <w:rPr>
                <w:rFonts w:ascii="Arial" w:hAnsi="Arial" w:cs="Arial"/>
                <w:color w:val="000000"/>
              </w:rPr>
            </w:pPr>
            <w:r w:rsidRPr="006B4C34">
              <w:rPr>
                <w:rFonts w:ascii="Arial" w:hAnsi="Arial" w:cs="Arial"/>
                <w:color w:val="000000"/>
              </w:rPr>
              <w:t>NHS Digital</w:t>
            </w:r>
          </w:p>
        </w:tc>
        <w:tc>
          <w:tcPr>
            <w:tcW w:w="960" w:type="dxa"/>
            <w:tcBorders>
              <w:top w:val="nil"/>
              <w:left w:val="nil"/>
              <w:bottom w:val="single" w:sz="4" w:space="0" w:color="auto"/>
              <w:right w:val="single" w:sz="4" w:space="0" w:color="auto"/>
            </w:tcBorders>
            <w:shd w:val="clear" w:color="auto" w:fill="auto"/>
            <w:noWrap/>
            <w:vAlign w:val="bottom"/>
            <w:hideMark/>
          </w:tcPr>
          <w:p w:rsidR="007C133F" w:rsidRPr="006B4C34" w:rsidRDefault="007C133F" w:rsidP="007C133F">
            <w:pPr>
              <w:jc w:val="right"/>
              <w:rPr>
                <w:rFonts w:ascii="Arial" w:hAnsi="Arial" w:cs="Arial"/>
                <w:color w:val="000000"/>
              </w:rPr>
            </w:pPr>
            <w:r w:rsidRPr="006B4C34">
              <w:rPr>
                <w:rFonts w:ascii="Arial" w:hAnsi="Arial" w:cs="Arial"/>
                <w:color w:val="000000"/>
              </w:rPr>
              <w:t>16.10%</w:t>
            </w:r>
          </w:p>
        </w:tc>
        <w:tc>
          <w:tcPr>
            <w:tcW w:w="960" w:type="dxa"/>
            <w:tcBorders>
              <w:top w:val="nil"/>
              <w:left w:val="nil"/>
              <w:bottom w:val="single" w:sz="4" w:space="0" w:color="auto"/>
              <w:right w:val="single" w:sz="4" w:space="0" w:color="auto"/>
            </w:tcBorders>
            <w:shd w:val="clear" w:color="auto" w:fill="auto"/>
            <w:noWrap/>
            <w:vAlign w:val="bottom"/>
            <w:hideMark/>
          </w:tcPr>
          <w:p w:rsidR="007C133F" w:rsidRPr="006B4C34" w:rsidRDefault="007C133F" w:rsidP="007C133F">
            <w:pPr>
              <w:jc w:val="right"/>
              <w:rPr>
                <w:rFonts w:ascii="Arial" w:hAnsi="Arial" w:cs="Arial"/>
                <w:color w:val="000000"/>
              </w:rPr>
            </w:pPr>
            <w:r w:rsidRPr="006B4C34">
              <w:rPr>
                <w:rFonts w:ascii="Arial" w:hAnsi="Arial" w:cs="Arial"/>
                <w:color w:val="000000"/>
              </w:rPr>
              <w:t>14.10%</w:t>
            </w:r>
          </w:p>
        </w:tc>
        <w:tc>
          <w:tcPr>
            <w:tcW w:w="1460" w:type="dxa"/>
            <w:tcBorders>
              <w:top w:val="nil"/>
              <w:left w:val="nil"/>
              <w:bottom w:val="single" w:sz="4" w:space="0" w:color="auto"/>
              <w:right w:val="single" w:sz="4" w:space="0" w:color="auto"/>
            </w:tcBorders>
            <w:shd w:val="clear" w:color="auto" w:fill="auto"/>
            <w:noWrap/>
            <w:vAlign w:val="bottom"/>
            <w:hideMark/>
          </w:tcPr>
          <w:p w:rsidR="007C133F" w:rsidRPr="006B4C34" w:rsidRDefault="007C133F" w:rsidP="007C133F">
            <w:pPr>
              <w:rPr>
                <w:rFonts w:ascii="Arial" w:hAnsi="Arial" w:cs="Arial"/>
                <w:color w:val="000000"/>
              </w:rPr>
            </w:pPr>
            <w:r w:rsidRPr="006B4C34">
              <w:rPr>
                <w:rFonts w:ascii="Arial" w:hAnsi="Arial" w:cs="Arial"/>
                <w:color w:val="000000"/>
              </w:rPr>
              <w:t>L</w:t>
            </w:r>
          </w:p>
        </w:tc>
      </w:tr>
      <w:tr w:rsidR="007C133F" w:rsidRPr="006B4C34" w:rsidTr="007C133F">
        <w:trPr>
          <w:trHeight w:val="300"/>
        </w:trPr>
        <w:tc>
          <w:tcPr>
            <w:tcW w:w="4620" w:type="dxa"/>
            <w:tcBorders>
              <w:top w:val="nil"/>
              <w:left w:val="single" w:sz="4" w:space="0" w:color="auto"/>
              <w:bottom w:val="single" w:sz="4" w:space="0" w:color="auto"/>
              <w:right w:val="single" w:sz="4" w:space="0" w:color="auto"/>
            </w:tcBorders>
            <w:shd w:val="clear" w:color="auto" w:fill="auto"/>
            <w:noWrap/>
            <w:vAlign w:val="bottom"/>
            <w:hideMark/>
          </w:tcPr>
          <w:p w:rsidR="007C133F" w:rsidRPr="006B4C34" w:rsidRDefault="007C133F" w:rsidP="007C133F">
            <w:pPr>
              <w:rPr>
                <w:rFonts w:ascii="Arial" w:hAnsi="Arial" w:cs="Arial"/>
                <w:color w:val="000000"/>
              </w:rPr>
            </w:pPr>
            <w:r w:rsidRPr="006B4C34">
              <w:rPr>
                <w:rFonts w:ascii="Arial" w:hAnsi="Arial" w:cs="Arial"/>
                <w:color w:val="000000"/>
              </w:rPr>
              <w:t>Kent Community NHS Foundation Trust</w:t>
            </w:r>
          </w:p>
        </w:tc>
        <w:tc>
          <w:tcPr>
            <w:tcW w:w="960" w:type="dxa"/>
            <w:tcBorders>
              <w:top w:val="nil"/>
              <w:left w:val="nil"/>
              <w:bottom w:val="single" w:sz="4" w:space="0" w:color="auto"/>
              <w:right w:val="single" w:sz="4" w:space="0" w:color="auto"/>
            </w:tcBorders>
            <w:shd w:val="clear" w:color="auto" w:fill="auto"/>
            <w:noWrap/>
            <w:vAlign w:val="bottom"/>
            <w:hideMark/>
          </w:tcPr>
          <w:p w:rsidR="007C133F" w:rsidRPr="006B4C34" w:rsidRDefault="007C133F" w:rsidP="007C133F">
            <w:pPr>
              <w:jc w:val="right"/>
              <w:rPr>
                <w:rFonts w:ascii="Arial" w:hAnsi="Arial" w:cs="Arial"/>
                <w:color w:val="000000"/>
              </w:rPr>
            </w:pPr>
            <w:r w:rsidRPr="006B4C34">
              <w:rPr>
                <w:rFonts w:ascii="Arial" w:hAnsi="Arial" w:cs="Arial"/>
                <w:color w:val="000000"/>
              </w:rPr>
              <w:t>9.02%</w:t>
            </w:r>
          </w:p>
        </w:tc>
        <w:tc>
          <w:tcPr>
            <w:tcW w:w="960" w:type="dxa"/>
            <w:tcBorders>
              <w:top w:val="nil"/>
              <w:left w:val="nil"/>
              <w:bottom w:val="single" w:sz="4" w:space="0" w:color="auto"/>
              <w:right w:val="single" w:sz="4" w:space="0" w:color="auto"/>
            </w:tcBorders>
            <w:shd w:val="clear" w:color="auto" w:fill="auto"/>
            <w:noWrap/>
            <w:vAlign w:val="bottom"/>
            <w:hideMark/>
          </w:tcPr>
          <w:p w:rsidR="007C133F" w:rsidRPr="006B4C34" w:rsidRDefault="007C133F" w:rsidP="007C133F">
            <w:pPr>
              <w:jc w:val="right"/>
              <w:rPr>
                <w:rFonts w:ascii="Arial" w:hAnsi="Arial" w:cs="Arial"/>
                <w:color w:val="000000"/>
              </w:rPr>
            </w:pPr>
            <w:r w:rsidRPr="006B4C34">
              <w:rPr>
                <w:rFonts w:ascii="Arial" w:hAnsi="Arial" w:cs="Arial"/>
                <w:color w:val="000000"/>
              </w:rPr>
              <w:t>8.29%</w:t>
            </w:r>
          </w:p>
        </w:tc>
        <w:tc>
          <w:tcPr>
            <w:tcW w:w="1460" w:type="dxa"/>
            <w:tcBorders>
              <w:top w:val="nil"/>
              <w:left w:val="nil"/>
              <w:bottom w:val="single" w:sz="4" w:space="0" w:color="auto"/>
              <w:right w:val="single" w:sz="4" w:space="0" w:color="auto"/>
            </w:tcBorders>
            <w:shd w:val="clear" w:color="auto" w:fill="auto"/>
            <w:noWrap/>
            <w:vAlign w:val="bottom"/>
            <w:hideMark/>
          </w:tcPr>
          <w:p w:rsidR="007C133F" w:rsidRPr="006B4C34" w:rsidRDefault="007C133F" w:rsidP="007C133F">
            <w:pPr>
              <w:rPr>
                <w:rFonts w:ascii="Arial" w:hAnsi="Arial" w:cs="Arial"/>
                <w:color w:val="000000"/>
              </w:rPr>
            </w:pPr>
            <w:r w:rsidRPr="006B4C34">
              <w:rPr>
                <w:rFonts w:ascii="Arial" w:hAnsi="Arial" w:cs="Arial"/>
                <w:color w:val="000000"/>
              </w:rPr>
              <w:t>L</w:t>
            </w:r>
          </w:p>
        </w:tc>
      </w:tr>
      <w:tr w:rsidR="007C133F" w:rsidRPr="006B4C34" w:rsidTr="007C133F">
        <w:trPr>
          <w:trHeight w:val="300"/>
        </w:trPr>
        <w:tc>
          <w:tcPr>
            <w:tcW w:w="4620" w:type="dxa"/>
            <w:tcBorders>
              <w:top w:val="nil"/>
              <w:left w:val="single" w:sz="4" w:space="0" w:color="auto"/>
              <w:bottom w:val="single" w:sz="4" w:space="0" w:color="auto"/>
              <w:right w:val="single" w:sz="4" w:space="0" w:color="auto"/>
            </w:tcBorders>
            <w:shd w:val="clear" w:color="auto" w:fill="auto"/>
            <w:noWrap/>
            <w:vAlign w:val="bottom"/>
            <w:hideMark/>
          </w:tcPr>
          <w:p w:rsidR="007C133F" w:rsidRPr="006B4C34" w:rsidRDefault="007C133F" w:rsidP="007C133F">
            <w:pPr>
              <w:rPr>
                <w:rFonts w:ascii="Arial" w:hAnsi="Arial" w:cs="Arial"/>
                <w:color w:val="000000"/>
              </w:rPr>
            </w:pPr>
            <w:r w:rsidRPr="006B4C34">
              <w:rPr>
                <w:rFonts w:ascii="Arial" w:hAnsi="Arial" w:cs="Arial"/>
                <w:color w:val="000000"/>
              </w:rPr>
              <w:t>NHS Resolution formerly NHS Litigation Authority</w:t>
            </w:r>
          </w:p>
        </w:tc>
        <w:tc>
          <w:tcPr>
            <w:tcW w:w="960" w:type="dxa"/>
            <w:tcBorders>
              <w:top w:val="nil"/>
              <w:left w:val="nil"/>
              <w:bottom w:val="single" w:sz="4" w:space="0" w:color="auto"/>
              <w:right w:val="single" w:sz="4" w:space="0" w:color="auto"/>
            </w:tcBorders>
            <w:shd w:val="clear" w:color="auto" w:fill="auto"/>
            <w:noWrap/>
            <w:vAlign w:val="bottom"/>
            <w:hideMark/>
          </w:tcPr>
          <w:p w:rsidR="007C133F" w:rsidRPr="006B4C34" w:rsidRDefault="007C133F" w:rsidP="007C133F">
            <w:pPr>
              <w:jc w:val="right"/>
              <w:rPr>
                <w:rFonts w:ascii="Arial" w:hAnsi="Arial" w:cs="Arial"/>
                <w:color w:val="000000"/>
              </w:rPr>
            </w:pPr>
            <w:r w:rsidRPr="006B4C34">
              <w:rPr>
                <w:rFonts w:ascii="Arial" w:hAnsi="Arial" w:cs="Arial"/>
                <w:color w:val="000000"/>
              </w:rPr>
              <w:t>8.30%</w:t>
            </w:r>
          </w:p>
        </w:tc>
        <w:tc>
          <w:tcPr>
            <w:tcW w:w="960" w:type="dxa"/>
            <w:tcBorders>
              <w:top w:val="nil"/>
              <w:left w:val="nil"/>
              <w:bottom w:val="single" w:sz="4" w:space="0" w:color="auto"/>
              <w:right w:val="single" w:sz="4" w:space="0" w:color="auto"/>
            </w:tcBorders>
            <w:shd w:val="clear" w:color="auto" w:fill="auto"/>
            <w:noWrap/>
            <w:vAlign w:val="bottom"/>
            <w:hideMark/>
          </w:tcPr>
          <w:p w:rsidR="007C133F" w:rsidRPr="006B4C34" w:rsidRDefault="007C133F" w:rsidP="007C133F">
            <w:pPr>
              <w:jc w:val="right"/>
              <w:rPr>
                <w:rFonts w:ascii="Arial" w:hAnsi="Arial" w:cs="Arial"/>
                <w:color w:val="000000"/>
              </w:rPr>
            </w:pPr>
            <w:r w:rsidRPr="006B4C34">
              <w:rPr>
                <w:rFonts w:ascii="Arial" w:hAnsi="Arial" w:cs="Arial"/>
                <w:color w:val="000000"/>
              </w:rPr>
              <w:t>8.10%</w:t>
            </w:r>
          </w:p>
        </w:tc>
        <w:tc>
          <w:tcPr>
            <w:tcW w:w="1460" w:type="dxa"/>
            <w:tcBorders>
              <w:top w:val="nil"/>
              <w:left w:val="nil"/>
              <w:bottom w:val="single" w:sz="4" w:space="0" w:color="auto"/>
              <w:right w:val="single" w:sz="4" w:space="0" w:color="auto"/>
            </w:tcBorders>
            <w:shd w:val="clear" w:color="auto" w:fill="auto"/>
            <w:noWrap/>
            <w:vAlign w:val="bottom"/>
            <w:hideMark/>
          </w:tcPr>
          <w:p w:rsidR="007C133F" w:rsidRPr="006B4C34" w:rsidRDefault="007C133F" w:rsidP="007C133F">
            <w:pPr>
              <w:rPr>
                <w:rFonts w:ascii="Arial" w:hAnsi="Arial" w:cs="Arial"/>
                <w:color w:val="000000"/>
              </w:rPr>
            </w:pPr>
            <w:r w:rsidRPr="006B4C34">
              <w:rPr>
                <w:rFonts w:ascii="Arial" w:hAnsi="Arial" w:cs="Arial"/>
                <w:color w:val="000000"/>
              </w:rPr>
              <w:t>L</w:t>
            </w:r>
          </w:p>
        </w:tc>
      </w:tr>
    </w:tbl>
    <w:p w:rsidR="007C133F" w:rsidRPr="006B4C34" w:rsidRDefault="007C133F" w:rsidP="007C133F">
      <w:pPr>
        <w:spacing w:after="200" w:line="276" w:lineRule="auto"/>
        <w:rPr>
          <w:rFonts w:ascii="Arial" w:eastAsia="Calibri" w:hAnsi="Arial" w:cs="Arial"/>
          <w:b/>
          <w:lang w:eastAsia="en-US"/>
        </w:rPr>
      </w:pPr>
    </w:p>
    <w:p w:rsidR="007C133F" w:rsidRPr="00526FEF" w:rsidRDefault="007C133F" w:rsidP="007C133F">
      <w:pPr>
        <w:spacing w:after="200" w:line="276" w:lineRule="auto"/>
        <w:rPr>
          <w:rFonts w:ascii="Arial" w:eastAsia="Calibri" w:hAnsi="Arial" w:cs="Arial"/>
          <w:lang w:eastAsia="en-US"/>
        </w:rPr>
      </w:pPr>
      <w:r w:rsidRPr="00526FEF">
        <w:rPr>
          <w:rFonts w:ascii="Arial" w:eastAsia="Calibri" w:hAnsi="Arial" w:cs="Arial"/>
          <w:lang w:eastAsia="en-US"/>
        </w:rPr>
        <w:t xml:space="preserve">Of the 5 organisations who have declared the Mean range is between 34.5% and 8.30% the Median average between 16.90% and 8.10%. </w:t>
      </w:r>
    </w:p>
    <w:p w:rsidR="00526FEF" w:rsidRPr="00526FEF" w:rsidRDefault="00526FEF" w:rsidP="00526FEF">
      <w:pPr>
        <w:numPr>
          <w:ilvl w:val="0"/>
          <w:numId w:val="1"/>
        </w:numPr>
        <w:tabs>
          <w:tab w:val="clear" w:pos="900"/>
          <w:tab w:val="num" w:pos="0"/>
        </w:tabs>
        <w:spacing w:after="200" w:line="276" w:lineRule="auto"/>
        <w:ind w:hanging="900"/>
        <w:rPr>
          <w:rFonts w:ascii="Arial" w:eastAsia="Calibri" w:hAnsi="Arial" w:cs="Arial"/>
          <w:b/>
          <w:lang w:eastAsia="en-US"/>
        </w:rPr>
      </w:pPr>
      <w:r w:rsidRPr="00526FEF">
        <w:rPr>
          <w:rFonts w:ascii="Arial" w:eastAsia="Calibri" w:hAnsi="Arial" w:cs="Arial"/>
          <w:b/>
          <w:lang w:eastAsia="en-US"/>
        </w:rPr>
        <w:t>Conclusion</w:t>
      </w:r>
    </w:p>
    <w:p w:rsidR="00526FEF" w:rsidRDefault="007C133F" w:rsidP="007C133F">
      <w:pPr>
        <w:spacing w:after="200" w:line="276" w:lineRule="auto"/>
        <w:rPr>
          <w:rFonts w:ascii="Arial" w:eastAsia="Calibri" w:hAnsi="Arial" w:cs="Arial"/>
          <w:lang w:eastAsia="en-US"/>
        </w:rPr>
      </w:pPr>
      <w:r w:rsidRPr="00526FEF">
        <w:rPr>
          <w:rFonts w:ascii="Arial" w:eastAsia="Calibri" w:hAnsi="Arial" w:cs="Arial"/>
          <w:lang w:eastAsia="en-US"/>
        </w:rPr>
        <w:t>KCHFT now have evidence through the bench marking that some organisations are reporting a gap of over 34% in favour of male employees. It is thought that this may be caused by large numbers of medical staff employed by acute trusts in particular. When the full data is published KCHFT can do proper comparison with other trusts</w:t>
      </w:r>
      <w:r w:rsidR="00526FEF">
        <w:rPr>
          <w:rFonts w:ascii="Arial" w:eastAsia="Calibri" w:hAnsi="Arial" w:cs="Arial"/>
          <w:lang w:eastAsia="en-US"/>
        </w:rPr>
        <w:t>.</w:t>
      </w:r>
      <w:r w:rsidRPr="00526FEF">
        <w:rPr>
          <w:rFonts w:ascii="Arial" w:eastAsia="Calibri" w:hAnsi="Arial" w:cs="Arial"/>
          <w:lang w:eastAsia="en-US"/>
        </w:rPr>
        <w:t xml:space="preserve"> </w:t>
      </w:r>
    </w:p>
    <w:p w:rsidR="007C133F" w:rsidRPr="00526FEF" w:rsidRDefault="00526FEF" w:rsidP="007C133F">
      <w:pPr>
        <w:spacing w:after="200" w:line="276" w:lineRule="auto"/>
        <w:rPr>
          <w:rFonts w:ascii="Arial" w:eastAsia="Calibri" w:hAnsi="Arial" w:cs="Arial"/>
          <w:lang w:eastAsia="en-US"/>
        </w:rPr>
      </w:pPr>
      <w:r w:rsidRPr="00526FEF">
        <w:rPr>
          <w:rFonts w:ascii="Arial" w:eastAsia="Calibri" w:hAnsi="Arial" w:cs="Arial"/>
          <w:lang w:eastAsia="en-US"/>
        </w:rPr>
        <w:t>However</w:t>
      </w:r>
      <w:r w:rsidR="007C133F" w:rsidRPr="00526FEF">
        <w:rPr>
          <w:rFonts w:ascii="Arial" w:eastAsia="Calibri" w:hAnsi="Arial" w:cs="Arial"/>
          <w:lang w:eastAsia="en-US"/>
        </w:rPr>
        <w:t xml:space="preserve"> from our own work already undertaken the Trust knows:</w:t>
      </w:r>
    </w:p>
    <w:p w:rsidR="007C133F" w:rsidRPr="00526FEF" w:rsidRDefault="007C133F" w:rsidP="007C133F">
      <w:pPr>
        <w:numPr>
          <w:ilvl w:val="0"/>
          <w:numId w:val="5"/>
        </w:numPr>
        <w:spacing w:after="200" w:line="276" w:lineRule="auto"/>
        <w:contextualSpacing/>
        <w:rPr>
          <w:rFonts w:ascii="Arial" w:eastAsia="Calibri" w:hAnsi="Arial" w:cs="Arial"/>
          <w:lang w:eastAsia="en-US"/>
        </w:rPr>
      </w:pPr>
      <w:r w:rsidRPr="00526FEF">
        <w:rPr>
          <w:rFonts w:ascii="Arial" w:eastAsia="Calibri" w:hAnsi="Arial" w:cs="Arial"/>
          <w:lang w:eastAsia="en-US"/>
        </w:rPr>
        <w:t>Women are on average paid more in AFC bands one to seven</w:t>
      </w:r>
    </w:p>
    <w:p w:rsidR="007C133F" w:rsidRPr="00526FEF" w:rsidRDefault="007C133F" w:rsidP="007C133F">
      <w:pPr>
        <w:numPr>
          <w:ilvl w:val="0"/>
          <w:numId w:val="5"/>
        </w:numPr>
        <w:spacing w:after="200" w:line="276" w:lineRule="auto"/>
        <w:contextualSpacing/>
        <w:rPr>
          <w:rFonts w:ascii="Arial" w:eastAsia="Calibri" w:hAnsi="Arial" w:cs="Arial"/>
          <w:lang w:eastAsia="en-US"/>
        </w:rPr>
      </w:pPr>
      <w:r w:rsidRPr="00526FEF">
        <w:rPr>
          <w:rFonts w:ascii="Arial" w:eastAsia="Calibri" w:hAnsi="Arial" w:cs="Arial"/>
          <w:lang w:eastAsia="en-US"/>
        </w:rPr>
        <w:t>Men are on average paid more in AFC band 8a to 9 and are not representative in proportion of the male/female split for the organisation as a whole</w:t>
      </w:r>
    </w:p>
    <w:p w:rsidR="007C133F" w:rsidRDefault="007C133F" w:rsidP="007C133F">
      <w:pPr>
        <w:numPr>
          <w:ilvl w:val="0"/>
          <w:numId w:val="5"/>
        </w:numPr>
        <w:spacing w:after="200" w:line="276" w:lineRule="auto"/>
        <w:contextualSpacing/>
        <w:rPr>
          <w:rFonts w:ascii="Arial" w:eastAsia="Calibri" w:hAnsi="Arial" w:cs="Arial"/>
          <w:lang w:eastAsia="en-US"/>
        </w:rPr>
      </w:pPr>
      <w:r w:rsidRPr="00526FEF">
        <w:rPr>
          <w:rFonts w:ascii="Arial" w:eastAsia="Calibri" w:hAnsi="Arial" w:cs="Arial"/>
          <w:lang w:eastAsia="en-US"/>
        </w:rPr>
        <w:t>M</w:t>
      </w:r>
      <w:r w:rsidR="00526FEF">
        <w:rPr>
          <w:rFonts w:ascii="Arial" w:eastAsia="Calibri" w:hAnsi="Arial" w:cs="Arial"/>
          <w:lang w:eastAsia="en-US"/>
        </w:rPr>
        <w:t xml:space="preserve">en are paid on average more as </w:t>
      </w:r>
      <w:r w:rsidRPr="00526FEF">
        <w:rPr>
          <w:rFonts w:ascii="Arial" w:eastAsia="Calibri" w:hAnsi="Arial" w:cs="Arial"/>
          <w:lang w:eastAsia="en-US"/>
        </w:rPr>
        <w:t xml:space="preserve"> medical members of staff than females and are not representative in proportion of the male/female split for the organisation as a whole</w:t>
      </w:r>
    </w:p>
    <w:p w:rsidR="00526FEF" w:rsidRPr="00526FEF" w:rsidRDefault="00526FEF" w:rsidP="00526FEF">
      <w:pPr>
        <w:spacing w:after="200" w:line="276" w:lineRule="auto"/>
        <w:ind w:left="720"/>
        <w:contextualSpacing/>
        <w:rPr>
          <w:rFonts w:ascii="Arial" w:eastAsia="Calibri" w:hAnsi="Arial" w:cs="Arial"/>
          <w:lang w:eastAsia="en-US"/>
        </w:rPr>
      </w:pPr>
    </w:p>
    <w:p w:rsidR="007C133F" w:rsidRPr="00526FEF" w:rsidRDefault="00526FEF" w:rsidP="00526FEF">
      <w:pPr>
        <w:numPr>
          <w:ilvl w:val="0"/>
          <w:numId w:val="1"/>
        </w:numPr>
        <w:tabs>
          <w:tab w:val="clear" w:pos="900"/>
        </w:tabs>
        <w:spacing w:after="200" w:line="276" w:lineRule="auto"/>
        <w:ind w:hanging="900"/>
        <w:rPr>
          <w:rFonts w:ascii="Arial" w:eastAsia="Calibri" w:hAnsi="Arial" w:cs="Arial"/>
          <w:b/>
          <w:lang w:eastAsia="en-US"/>
        </w:rPr>
      </w:pPr>
      <w:r w:rsidRPr="00526FEF">
        <w:rPr>
          <w:rFonts w:ascii="Arial" w:eastAsia="Calibri" w:hAnsi="Arial" w:cs="Arial"/>
          <w:b/>
          <w:lang w:eastAsia="en-US"/>
        </w:rPr>
        <w:t>Recommendation</w:t>
      </w:r>
    </w:p>
    <w:p w:rsidR="00526FEF" w:rsidRPr="00526FEF" w:rsidRDefault="00526FEF" w:rsidP="00526FEF">
      <w:pPr>
        <w:spacing w:after="200" w:line="276" w:lineRule="auto"/>
        <w:rPr>
          <w:rFonts w:ascii="Arial" w:eastAsia="Calibri" w:hAnsi="Arial" w:cs="Arial"/>
          <w:lang w:eastAsia="en-US"/>
        </w:rPr>
      </w:pPr>
      <w:r>
        <w:rPr>
          <w:rFonts w:ascii="Arial" w:eastAsia="Calibri" w:hAnsi="Arial" w:cs="Arial"/>
          <w:lang w:eastAsia="en-US"/>
        </w:rPr>
        <w:t>The Committee are asked to note the gender pay gap and the figures that will be reported nationally and on the website.</w:t>
      </w:r>
    </w:p>
    <w:p w:rsidR="00526FEF" w:rsidRDefault="007C133F" w:rsidP="007C133F">
      <w:pPr>
        <w:spacing w:after="200" w:line="276" w:lineRule="auto"/>
        <w:rPr>
          <w:rFonts w:ascii="Arial" w:eastAsia="Calibri" w:hAnsi="Arial" w:cs="Arial"/>
          <w:lang w:eastAsia="en-US"/>
        </w:rPr>
      </w:pPr>
      <w:r w:rsidRPr="00526FEF">
        <w:rPr>
          <w:rFonts w:ascii="Arial" w:eastAsia="Calibri" w:hAnsi="Arial" w:cs="Arial"/>
          <w:lang w:eastAsia="en-US"/>
        </w:rPr>
        <w:t>Richard Collins</w:t>
      </w:r>
    </w:p>
    <w:p w:rsidR="007C133F" w:rsidRPr="00526FEF" w:rsidRDefault="007C133F" w:rsidP="007C133F">
      <w:pPr>
        <w:spacing w:after="200" w:line="276" w:lineRule="auto"/>
        <w:rPr>
          <w:rFonts w:ascii="Arial" w:eastAsia="Calibri" w:hAnsi="Arial" w:cs="Arial"/>
          <w:lang w:eastAsia="en-US"/>
        </w:rPr>
      </w:pPr>
      <w:r w:rsidRPr="00526FEF">
        <w:rPr>
          <w:rFonts w:ascii="Arial" w:eastAsia="Calibri" w:hAnsi="Arial" w:cs="Arial"/>
          <w:lang w:eastAsia="en-US"/>
        </w:rPr>
        <w:t>28/02/2018</w:t>
      </w:r>
    </w:p>
    <w:p w:rsidR="00562D8F" w:rsidRDefault="00562D8F" w:rsidP="007C133F">
      <w:pPr>
        <w:rPr>
          <w:rFonts w:ascii="Arial" w:hAnsi="Arial" w:cs="Arial"/>
        </w:rPr>
      </w:pPr>
    </w:p>
    <w:sectPr w:rsidR="00562D8F" w:rsidSect="00292A46">
      <w:headerReference w:type="default" r:id="rId7"/>
      <w:footerReference w:type="default" r:id="rId8"/>
      <w:headerReference w:type="first" r:id="rId9"/>
      <w:pgSz w:w="11906" w:h="16838"/>
      <w:pgMar w:top="1440" w:right="1440" w:bottom="1440" w:left="1440" w:header="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A750D" w:rsidRDefault="003A750D">
      <w:r>
        <w:separator/>
      </w:r>
    </w:p>
  </w:endnote>
  <w:endnote w:type="continuationSeparator" w:id="0">
    <w:p w:rsidR="003A750D" w:rsidRDefault="003A75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133F" w:rsidRPr="00E30736" w:rsidRDefault="007C133F" w:rsidP="00C24D31">
    <w:pPr>
      <w:rPr>
        <w:rFonts w:ascii="Arial" w:hAnsi="Arial" w:cs="Arial"/>
        <w:i/>
      </w:rPr>
    </w:pPr>
    <w:r>
      <w:rPr>
        <w:rFonts w:ascii="Arial" w:hAnsi="Arial" w:cs="Arial"/>
        <w:i/>
      </w:rPr>
      <w:t>Page numbering not necessary as automatic numbering is provided by the package we use to collate the papers</w:t>
    </w:r>
  </w:p>
  <w:p w:rsidR="007C133F" w:rsidRDefault="007C13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A750D" w:rsidRDefault="003A750D">
      <w:r>
        <w:separator/>
      </w:r>
    </w:p>
  </w:footnote>
  <w:footnote w:type="continuationSeparator" w:id="0">
    <w:p w:rsidR="003A750D" w:rsidRDefault="003A75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133F" w:rsidRDefault="007C133F" w:rsidP="00E26B42">
    <w:pPr>
      <w:pStyle w:val="Header"/>
      <w:ind w:right="-1180"/>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133F" w:rsidRPr="00823105" w:rsidRDefault="00502327" w:rsidP="00823105">
    <w:pPr>
      <w:pStyle w:val="Header"/>
    </w:pPr>
    <w:r>
      <w:rPr>
        <w:noProof/>
      </w:rPr>
      <w:drawing>
        <wp:anchor distT="0" distB="0" distL="114300" distR="114300" simplePos="0" relativeHeight="251657728" behindDoc="1" locked="0" layoutInCell="1" allowOverlap="1">
          <wp:simplePos x="0" y="0"/>
          <wp:positionH relativeFrom="column">
            <wp:posOffset>3950970</wp:posOffset>
          </wp:positionH>
          <wp:positionV relativeFrom="paragraph">
            <wp:posOffset>0</wp:posOffset>
          </wp:positionV>
          <wp:extent cx="2682875" cy="1181735"/>
          <wp:effectExtent l="0" t="0" r="0" b="0"/>
          <wp:wrapTight wrapText="bothSides">
            <wp:wrapPolygon edited="0">
              <wp:start x="0" y="0"/>
              <wp:lineTo x="0" y="21240"/>
              <wp:lineTo x="21472" y="21240"/>
              <wp:lineTo x="21472" y="0"/>
              <wp:lineTo x="0" y="0"/>
            </wp:wrapPolygon>
          </wp:wrapTight>
          <wp:docPr id="1" name="Picture 1" descr="Trust logo for 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ust logo for A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82875" cy="11817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461E8D"/>
    <w:multiLevelType w:val="hybridMultilevel"/>
    <w:tmpl w:val="96C45B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FC2D65"/>
    <w:multiLevelType w:val="hybridMultilevel"/>
    <w:tmpl w:val="5B0079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36688A"/>
    <w:multiLevelType w:val="hybridMultilevel"/>
    <w:tmpl w:val="A43862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3B3196A"/>
    <w:multiLevelType w:val="multilevel"/>
    <w:tmpl w:val="641CE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4797226"/>
    <w:multiLevelType w:val="hybridMultilevel"/>
    <w:tmpl w:val="DC38E4DC"/>
    <w:lvl w:ilvl="0" w:tplc="08090005">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75B16750"/>
    <w:multiLevelType w:val="multilevel"/>
    <w:tmpl w:val="B3A074DC"/>
    <w:lvl w:ilvl="0">
      <w:start w:val="1"/>
      <w:numFmt w:val="decimal"/>
      <w:lvlText w:val="%1."/>
      <w:lvlJc w:val="left"/>
      <w:pPr>
        <w:tabs>
          <w:tab w:val="num" w:pos="900"/>
        </w:tabs>
        <w:ind w:left="900" w:hanging="540"/>
      </w:pPr>
      <w:rPr>
        <w:rFonts w:hint="default"/>
        <w:b/>
      </w:rPr>
    </w:lvl>
    <w:lvl w:ilvl="1">
      <w:start w:val="1"/>
      <w:numFmt w:val="decimal"/>
      <w:isLgl/>
      <w:lvlText w:val="%1.%2"/>
      <w:lvlJc w:val="left"/>
      <w:pPr>
        <w:tabs>
          <w:tab w:val="num" w:pos="1080"/>
        </w:tabs>
        <w:ind w:left="1080" w:hanging="54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980"/>
        </w:tabs>
        <w:ind w:left="1980" w:hanging="1080"/>
      </w:pPr>
      <w:rPr>
        <w:rFonts w:hint="default"/>
      </w:rPr>
    </w:lvl>
    <w:lvl w:ilvl="4">
      <w:start w:val="1"/>
      <w:numFmt w:val="decimal"/>
      <w:isLgl/>
      <w:lvlText w:val="%1.%2.%3.%4.%5"/>
      <w:lvlJc w:val="left"/>
      <w:pPr>
        <w:tabs>
          <w:tab w:val="num" w:pos="2160"/>
        </w:tabs>
        <w:ind w:left="2160" w:hanging="1080"/>
      </w:pPr>
      <w:rPr>
        <w:rFonts w:hint="default"/>
      </w:rPr>
    </w:lvl>
    <w:lvl w:ilvl="5">
      <w:start w:val="1"/>
      <w:numFmt w:val="decimal"/>
      <w:isLgl/>
      <w:lvlText w:val="%1.%2.%3.%4.%5.%6"/>
      <w:lvlJc w:val="left"/>
      <w:pPr>
        <w:tabs>
          <w:tab w:val="num" w:pos="2700"/>
        </w:tabs>
        <w:ind w:left="2700" w:hanging="1440"/>
      </w:pPr>
      <w:rPr>
        <w:rFonts w:hint="default"/>
      </w:rPr>
    </w:lvl>
    <w:lvl w:ilvl="6">
      <w:start w:val="1"/>
      <w:numFmt w:val="decimal"/>
      <w:isLgl/>
      <w:lvlText w:val="%1.%2.%3.%4.%5.%6.%7"/>
      <w:lvlJc w:val="left"/>
      <w:pPr>
        <w:tabs>
          <w:tab w:val="num" w:pos="2880"/>
        </w:tabs>
        <w:ind w:left="2880" w:hanging="1440"/>
      </w:pPr>
      <w:rPr>
        <w:rFonts w:hint="default"/>
      </w:rPr>
    </w:lvl>
    <w:lvl w:ilvl="7">
      <w:start w:val="1"/>
      <w:numFmt w:val="decimal"/>
      <w:isLgl/>
      <w:lvlText w:val="%1.%2.%3.%4.%5.%6.%7.%8"/>
      <w:lvlJc w:val="left"/>
      <w:pPr>
        <w:tabs>
          <w:tab w:val="num" w:pos="3420"/>
        </w:tabs>
        <w:ind w:left="3420" w:hanging="1800"/>
      </w:pPr>
      <w:rPr>
        <w:rFonts w:hint="default"/>
      </w:rPr>
    </w:lvl>
    <w:lvl w:ilvl="8">
      <w:start w:val="1"/>
      <w:numFmt w:val="decimal"/>
      <w:isLgl/>
      <w:lvlText w:val="%1.%2.%3.%4.%5.%6.%7.%8.%9"/>
      <w:lvlJc w:val="left"/>
      <w:pPr>
        <w:tabs>
          <w:tab w:val="num" w:pos="3600"/>
        </w:tabs>
        <w:ind w:left="3600" w:hanging="1800"/>
      </w:pPr>
      <w:rPr>
        <w:rFonts w:hint="default"/>
      </w:rPr>
    </w:lvl>
  </w:abstractNum>
  <w:num w:numId="1">
    <w:abstractNumId w:val="5"/>
  </w:num>
  <w:num w:numId="2">
    <w:abstractNumId w:val="4"/>
  </w:num>
  <w:num w:numId="3">
    <w:abstractNumId w:val="3"/>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2D8F"/>
    <w:rsid w:val="0001320B"/>
    <w:rsid w:val="00142B54"/>
    <w:rsid w:val="00163F52"/>
    <w:rsid w:val="001777CE"/>
    <w:rsid w:val="001A19DE"/>
    <w:rsid w:val="00230E19"/>
    <w:rsid w:val="00292A46"/>
    <w:rsid w:val="002B2272"/>
    <w:rsid w:val="0033609F"/>
    <w:rsid w:val="003A750D"/>
    <w:rsid w:val="00440C69"/>
    <w:rsid w:val="00502327"/>
    <w:rsid w:val="00505029"/>
    <w:rsid w:val="00526FEF"/>
    <w:rsid w:val="00532A6B"/>
    <w:rsid w:val="00562D8F"/>
    <w:rsid w:val="00641D33"/>
    <w:rsid w:val="006B4C34"/>
    <w:rsid w:val="0072594C"/>
    <w:rsid w:val="007261A4"/>
    <w:rsid w:val="0074741D"/>
    <w:rsid w:val="007C133F"/>
    <w:rsid w:val="0081354D"/>
    <w:rsid w:val="00823105"/>
    <w:rsid w:val="009968BD"/>
    <w:rsid w:val="00A01015"/>
    <w:rsid w:val="00A01037"/>
    <w:rsid w:val="00A412D7"/>
    <w:rsid w:val="00B20F7F"/>
    <w:rsid w:val="00B878E5"/>
    <w:rsid w:val="00C24D31"/>
    <w:rsid w:val="00D27522"/>
    <w:rsid w:val="00D7551A"/>
    <w:rsid w:val="00D926A5"/>
    <w:rsid w:val="00DB3E81"/>
    <w:rsid w:val="00E17BC5"/>
    <w:rsid w:val="00E26B42"/>
    <w:rsid w:val="00E30736"/>
    <w:rsid w:val="00F77C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7AC07545-8CC0-401E-ACF3-CE5F4F46C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562D8F"/>
    <w:pPr>
      <w:tabs>
        <w:tab w:val="center" w:pos="4153"/>
        <w:tab w:val="right" w:pos="8306"/>
      </w:tabs>
    </w:pPr>
  </w:style>
  <w:style w:type="paragraph" w:styleId="Footer">
    <w:name w:val="footer"/>
    <w:basedOn w:val="Normal"/>
    <w:rsid w:val="00562D8F"/>
    <w:pPr>
      <w:tabs>
        <w:tab w:val="center" w:pos="4153"/>
        <w:tab w:val="right" w:pos="8306"/>
      </w:tabs>
    </w:pPr>
  </w:style>
  <w:style w:type="table" w:styleId="TableGrid">
    <w:name w:val="Table Grid"/>
    <w:basedOn w:val="TableNormal"/>
    <w:rsid w:val="00562D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C24D3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599</Words>
  <Characters>3417</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 </vt:lpstr>
    </vt:vector>
  </TitlesOfParts>
  <Company>kmhis</Company>
  <LinksUpToDate>false</LinksUpToDate>
  <CharactersWithSpaces>4008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val.hall</dc:creator>
  <cp:keywords/>
  <cp:lastModifiedBy>Crouch Andrew</cp:lastModifiedBy>
  <cp:revision>2</cp:revision>
  <dcterms:created xsi:type="dcterms:W3CDTF">2022-08-05T14:06:00Z</dcterms:created>
  <dcterms:modified xsi:type="dcterms:W3CDTF">2022-08-05T14:06:00Z</dcterms:modified>
</cp:coreProperties>
</file>